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A566D" w14:textId="77777777" w:rsidR="002E12A3" w:rsidRPr="002E12A3" w:rsidRDefault="002E12A3" w:rsidP="002E12A3">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0" w:name="_GoBack"/>
      <w:bookmarkEnd w:id="0"/>
      <w:r w:rsidRPr="002E12A3">
        <w:rPr>
          <w:rFonts w:ascii="Times New Roman" w:eastAsia="Times New Roman" w:hAnsi="Times New Roman" w:cs="Times New Roman"/>
          <w:caps/>
          <w:color w:val="212529"/>
          <w:sz w:val="24"/>
          <w:szCs w:val="24"/>
          <w:lang w:eastAsia="ru-RU"/>
        </w:rPr>
        <w:t>ЗАКОН РЕСПУБЛИКИ БЕЛАРУСЬ</w:t>
      </w:r>
    </w:p>
    <w:p w14:paraId="0152730F" w14:textId="77777777" w:rsidR="002E12A3" w:rsidRPr="002E12A3" w:rsidRDefault="002E12A3" w:rsidP="002E12A3">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6 июля 1993 г. № 2468-XІІ</w:t>
      </w:r>
    </w:p>
    <w:p w14:paraId="5314C9A9" w14:textId="72B140FD" w:rsidR="002E12A3" w:rsidRDefault="002E12A3" w:rsidP="002E12A3">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r w:rsidRPr="002E12A3">
        <w:rPr>
          <w:rFonts w:ascii="Times New Roman" w:eastAsia="Times New Roman" w:hAnsi="Times New Roman" w:cs="Times New Roman"/>
          <w:b/>
          <w:bCs/>
          <w:color w:val="212529"/>
          <w:sz w:val="34"/>
          <w:szCs w:val="34"/>
          <w:lang w:eastAsia="ru-RU"/>
        </w:rPr>
        <w:t>Об именных приватизационных чеках Республики Беларусь</w:t>
      </w:r>
    </w:p>
    <w:p w14:paraId="151713A3" w14:textId="77777777" w:rsidR="00D167A5" w:rsidRPr="002E12A3" w:rsidRDefault="00D167A5" w:rsidP="002E12A3">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p>
    <w:p w14:paraId="5F892F9C" w14:textId="77777777" w:rsidR="002E12A3" w:rsidRPr="002E12A3" w:rsidRDefault="002E12A3" w:rsidP="002E12A3">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2E12A3">
        <w:rPr>
          <w:rFonts w:ascii="Times New Roman" w:eastAsia="Times New Roman" w:hAnsi="Times New Roman" w:cs="Times New Roman"/>
          <w:color w:val="000000"/>
          <w:sz w:val="24"/>
          <w:szCs w:val="24"/>
          <w:lang w:eastAsia="ru-RU"/>
        </w:rPr>
        <w:t>Изменения и дополнения:</w:t>
      </w:r>
    </w:p>
    <w:p w14:paraId="2CF46976" w14:textId="77777777" w:rsidR="002E12A3" w:rsidRPr="002E12A3" w:rsidRDefault="002D6D58" w:rsidP="002E12A3">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002E12A3" w:rsidRPr="002E12A3">
          <w:rPr>
            <w:rFonts w:ascii="Times New Roman" w:eastAsia="Times New Roman" w:hAnsi="Times New Roman" w:cs="Times New Roman"/>
            <w:color w:val="000CFF"/>
            <w:sz w:val="24"/>
            <w:szCs w:val="24"/>
            <w:lang w:eastAsia="ru-RU"/>
          </w:rPr>
          <w:t>Закон Республики Беларусь от 18 января 1994 г. № 2711-XІІ</w:t>
        </w:r>
      </w:hyperlink>
      <w:r w:rsidR="002E12A3" w:rsidRPr="002E12A3">
        <w:rPr>
          <w:rFonts w:ascii="Times New Roman" w:eastAsia="Times New Roman" w:hAnsi="Times New Roman" w:cs="Times New Roman"/>
          <w:color w:val="212529"/>
          <w:sz w:val="24"/>
          <w:szCs w:val="24"/>
          <w:lang w:eastAsia="ru-RU"/>
        </w:rPr>
        <w:t> (</w:t>
      </w:r>
      <w:proofErr w:type="spellStart"/>
      <w:r w:rsidR="002E12A3" w:rsidRPr="002E12A3">
        <w:rPr>
          <w:rFonts w:ascii="Times New Roman" w:eastAsia="Times New Roman" w:hAnsi="Times New Roman" w:cs="Times New Roman"/>
          <w:color w:val="212529"/>
          <w:sz w:val="24"/>
          <w:szCs w:val="24"/>
          <w:lang w:eastAsia="ru-RU"/>
        </w:rPr>
        <w:t>Ведамасці</w:t>
      </w:r>
      <w:proofErr w:type="spellEnd"/>
      <w:r w:rsidR="002E12A3" w:rsidRPr="002E12A3">
        <w:rPr>
          <w:rFonts w:ascii="Times New Roman" w:eastAsia="Times New Roman" w:hAnsi="Times New Roman" w:cs="Times New Roman"/>
          <w:color w:val="212529"/>
          <w:sz w:val="24"/>
          <w:szCs w:val="24"/>
          <w:lang w:eastAsia="ru-RU"/>
        </w:rPr>
        <w:t xml:space="preserve"> </w:t>
      </w:r>
      <w:proofErr w:type="spellStart"/>
      <w:r w:rsidR="002E12A3" w:rsidRPr="002E12A3">
        <w:rPr>
          <w:rFonts w:ascii="Times New Roman" w:eastAsia="Times New Roman" w:hAnsi="Times New Roman" w:cs="Times New Roman"/>
          <w:color w:val="212529"/>
          <w:sz w:val="24"/>
          <w:szCs w:val="24"/>
          <w:lang w:eastAsia="ru-RU"/>
        </w:rPr>
        <w:t>Вярхоўнага</w:t>
      </w:r>
      <w:proofErr w:type="spellEnd"/>
      <w:r w:rsidR="002E12A3" w:rsidRPr="002E12A3">
        <w:rPr>
          <w:rFonts w:ascii="Times New Roman" w:eastAsia="Times New Roman" w:hAnsi="Times New Roman" w:cs="Times New Roman"/>
          <w:color w:val="212529"/>
          <w:sz w:val="24"/>
          <w:szCs w:val="24"/>
          <w:lang w:eastAsia="ru-RU"/>
        </w:rPr>
        <w:t xml:space="preserve"> </w:t>
      </w:r>
      <w:proofErr w:type="spellStart"/>
      <w:r w:rsidR="002E12A3" w:rsidRPr="002E12A3">
        <w:rPr>
          <w:rFonts w:ascii="Times New Roman" w:eastAsia="Times New Roman" w:hAnsi="Times New Roman" w:cs="Times New Roman"/>
          <w:color w:val="212529"/>
          <w:sz w:val="24"/>
          <w:szCs w:val="24"/>
          <w:lang w:eastAsia="ru-RU"/>
        </w:rPr>
        <w:t>Савета</w:t>
      </w:r>
      <w:proofErr w:type="spellEnd"/>
      <w:r w:rsidR="002E12A3" w:rsidRPr="002E12A3">
        <w:rPr>
          <w:rFonts w:ascii="Times New Roman" w:eastAsia="Times New Roman" w:hAnsi="Times New Roman" w:cs="Times New Roman"/>
          <w:color w:val="212529"/>
          <w:sz w:val="24"/>
          <w:szCs w:val="24"/>
          <w:lang w:eastAsia="ru-RU"/>
        </w:rPr>
        <w:t xml:space="preserve"> </w:t>
      </w:r>
      <w:proofErr w:type="spellStart"/>
      <w:r w:rsidR="002E12A3" w:rsidRPr="002E12A3">
        <w:rPr>
          <w:rFonts w:ascii="Times New Roman" w:eastAsia="Times New Roman" w:hAnsi="Times New Roman" w:cs="Times New Roman"/>
          <w:color w:val="212529"/>
          <w:sz w:val="24"/>
          <w:szCs w:val="24"/>
          <w:lang w:eastAsia="ru-RU"/>
        </w:rPr>
        <w:t>Рэспублікі</w:t>
      </w:r>
      <w:proofErr w:type="spellEnd"/>
      <w:r w:rsidR="002E12A3" w:rsidRPr="002E12A3">
        <w:rPr>
          <w:rFonts w:ascii="Times New Roman" w:eastAsia="Times New Roman" w:hAnsi="Times New Roman" w:cs="Times New Roman"/>
          <w:color w:val="212529"/>
          <w:sz w:val="24"/>
          <w:szCs w:val="24"/>
          <w:lang w:eastAsia="ru-RU"/>
        </w:rPr>
        <w:t xml:space="preserve"> Беларусь, 1994 г., № 6, ст.72);</w:t>
      </w:r>
    </w:p>
    <w:p w14:paraId="377E9C06" w14:textId="77777777" w:rsidR="002E12A3" w:rsidRPr="002E12A3" w:rsidRDefault="002D6D58" w:rsidP="002E12A3">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002E12A3" w:rsidRPr="002E12A3">
          <w:rPr>
            <w:rFonts w:ascii="Times New Roman" w:eastAsia="Times New Roman" w:hAnsi="Times New Roman" w:cs="Times New Roman"/>
            <w:color w:val="000CFF"/>
            <w:sz w:val="24"/>
            <w:szCs w:val="24"/>
            <w:lang w:eastAsia="ru-RU"/>
          </w:rPr>
          <w:t>Закон Республики Беларусь от 2 февраля 1994 г. № 2735-XІІ</w:t>
        </w:r>
      </w:hyperlink>
      <w:r w:rsidR="002E12A3" w:rsidRPr="002E12A3">
        <w:rPr>
          <w:rFonts w:ascii="Times New Roman" w:eastAsia="Times New Roman" w:hAnsi="Times New Roman" w:cs="Times New Roman"/>
          <w:color w:val="212529"/>
          <w:sz w:val="24"/>
          <w:szCs w:val="24"/>
          <w:lang w:eastAsia="ru-RU"/>
        </w:rPr>
        <w:t> (</w:t>
      </w:r>
      <w:proofErr w:type="spellStart"/>
      <w:r w:rsidR="002E12A3" w:rsidRPr="002E12A3">
        <w:rPr>
          <w:rFonts w:ascii="Times New Roman" w:eastAsia="Times New Roman" w:hAnsi="Times New Roman" w:cs="Times New Roman"/>
          <w:color w:val="212529"/>
          <w:sz w:val="24"/>
          <w:szCs w:val="24"/>
          <w:lang w:eastAsia="ru-RU"/>
        </w:rPr>
        <w:t>Ведамасці</w:t>
      </w:r>
      <w:proofErr w:type="spellEnd"/>
      <w:r w:rsidR="002E12A3" w:rsidRPr="002E12A3">
        <w:rPr>
          <w:rFonts w:ascii="Times New Roman" w:eastAsia="Times New Roman" w:hAnsi="Times New Roman" w:cs="Times New Roman"/>
          <w:color w:val="212529"/>
          <w:sz w:val="24"/>
          <w:szCs w:val="24"/>
          <w:lang w:eastAsia="ru-RU"/>
        </w:rPr>
        <w:t xml:space="preserve"> </w:t>
      </w:r>
      <w:proofErr w:type="spellStart"/>
      <w:r w:rsidR="002E12A3" w:rsidRPr="002E12A3">
        <w:rPr>
          <w:rFonts w:ascii="Times New Roman" w:eastAsia="Times New Roman" w:hAnsi="Times New Roman" w:cs="Times New Roman"/>
          <w:color w:val="212529"/>
          <w:sz w:val="24"/>
          <w:szCs w:val="24"/>
          <w:lang w:eastAsia="ru-RU"/>
        </w:rPr>
        <w:t>Вярхоўнага</w:t>
      </w:r>
      <w:proofErr w:type="spellEnd"/>
      <w:r w:rsidR="002E12A3" w:rsidRPr="002E12A3">
        <w:rPr>
          <w:rFonts w:ascii="Times New Roman" w:eastAsia="Times New Roman" w:hAnsi="Times New Roman" w:cs="Times New Roman"/>
          <w:color w:val="212529"/>
          <w:sz w:val="24"/>
          <w:szCs w:val="24"/>
          <w:lang w:eastAsia="ru-RU"/>
        </w:rPr>
        <w:t xml:space="preserve"> </w:t>
      </w:r>
      <w:proofErr w:type="spellStart"/>
      <w:r w:rsidR="002E12A3" w:rsidRPr="002E12A3">
        <w:rPr>
          <w:rFonts w:ascii="Times New Roman" w:eastAsia="Times New Roman" w:hAnsi="Times New Roman" w:cs="Times New Roman"/>
          <w:color w:val="212529"/>
          <w:sz w:val="24"/>
          <w:szCs w:val="24"/>
          <w:lang w:eastAsia="ru-RU"/>
        </w:rPr>
        <w:t>Савета</w:t>
      </w:r>
      <w:proofErr w:type="spellEnd"/>
      <w:r w:rsidR="002E12A3" w:rsidRPr="002E12A3">
        <w:rPr>
          <w:rFonts w:ascii="Times New Roman" w:eastAsia="Times New Roman" w:hAnsi="Times New Roman" w:cs="Times New Roman"/>
          <w:color w:val="212529"/>
          <w:sz w:val="24"/>
          <w:szCs w:val="24"/>
          <w:lang w:eastAsia="ru-RU"/>
        </w:rPr>
        <w:t xml:space="preserve"> </w:t>
      </w:r>
      <w:proofErr w:type="spellStart"/>
      <w:r w:rsidR="002E12A3" w:rsidRPr="002E12A3">
        <w:rPr>
          <w:rFonts w:ascii="Times New Roman" w:eastAsia="Times New Roman" w:hAnsi="Times New Roman" w:cs="Times New Roman"/>
          <w:color w:val="212529"/>
          <w:sz w:val="24"/>
          <w:szCs w:val="24"/>
          <w:lang w:eastAsia="ru-RU"/>
        </w:rPr>
        <w:t>Рэспублікі</w:t>
      </w:r>
      <w:proofErr w:type="spellEnd"/>
      <w:r w:rsidR="002E12A3" w:rsidRPr="002E12A3">
        <w:rPr>
          <w:rFonts w:ascii="Times New Roman" w:eastAsia="Times New Roman" w:hAnsi="Times New Roman" w:cs="Times New Roman"/>
          <w:color w:val="212529"/>
          <w:sz w:val="24"/>
          <w:szCs w:val="24"/>
          <w:lang w:eastAsia="ru-RU"/>
        </w:rPr>
        <w:t xml:space="preserve"> Беларусь, 1994 г., № 7, ст.93);</w:t>
      </w:r>
    </w:p>
    <w:p w14:paraId="0F3468F3" w14:textId="77777777" w:rsidR="002E12A3" w:rsidRPr="002E12A3" w:rsidRDefault="002D6D58" w:rsidP="002E12A3">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7" w:history="1">
        <w:r w:rsidR="002E12A3" w:rsidRPr="002E12A3">
          <w:rPr>
            <w:rFonts w:ascii="Times New Roman" w:eastAsia="Times New Roman" w:hAnsi="Times New Roman" w:cs="Times New Roman"/>
            <w:color w:val="000CFF"/>
            <w:sz w:val="24"/>
            <w:szCs w:val="24"/>
            <w:lang w:eastAsia="ru-RU"/>
          </w:rPr>
          <w:t>Закон Республики Беларусь от 4 января 1999 г. № 227-З</w:t>
        </w:r>
      </w:hyperlink>
      <w:r w:rsidR="002E12A3" w:rsidRPr="002E12A3">
        <w:rPr>
          <w:rFonts w:ascii="Times New Roman" w:eastAsia="Times New Roman" w:hAnsi="Times New Roman" w:cs="Times New Roman"/>
          <w:color w:val="212529"/>
          <w:sz w:val="24"/>
          <w:szCs w:val="24"/>
          <w:lang w:eastAsia="ru-RU"/>
        </w:rPr>
        <w:t> (Национальный реестр правовых актов Республики Беларусь, 1999 г., № 2-3, 2/2);</w:t>
      </w:r>
    </w:p>
    <w:p w14:paraId="68AAF2CA" w14:textId="77777777" w:rsidR="002E12A3" w:rsidRPr="002E12A3" w:rsidRDefault="002D6D58" w:rsidP="002E12A3">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8" w:history="1">
        <w:r w:rsidR="002E12A3" w:rsidRPr="002E12A3">
          <w:rPr>
            <w:rFonts w:ascii="Times New Roman" w:eastAsia="Times New Roman" w:hAnsi="Times New Roman" w:cs="Times New Roman"/>
            <w:color w:val="000CFF"/>
            <w:sz w:val="24"/>
            <w:szCs w:val="24"/>
            <w:lang w:eastAsia="ru-RU"/>
          </w:rPr>
          <w:t>Закон Республики Беларусь от 5 января 2006 г. № 101-З</w:t>
        </w:r>
      </w:hyperlink>
      <w:r w:rsidR="002E12A3" w:rsidRPr="002E12A3">
        <w:rPr>
          <w:rFonts w:ascii="Times New Roman" w:eastAsia="Times New Roman" w:hAnsi="Times New Roman" w:cs="Times New Roman"/>
          <w:color w:val="212529"/>
          <w:sz w:val="24"/>
          <w:szCs w:val="24"/>
          <w:lang w:eastAsia="ru-RU"/>
        </w:rPr>
        <w:t> с дополнением, внесенным </w:t>
      </w:r>
      <w:hyperlink r:id="rId9" w:history="1">
        <w:r w:rsidR="002E12A3" w:rsidRPr="002E12A3">
          <w:rPr>
            <w:rFonts w:ascii="Times New Roman" w:eastAsia="Times New Roman" w:hAnsi="Times New Roman" w:cs="Times New Roman"/>
            <w:color w:val="000CFF"/>
            <w:sz w:val="24"/>
            <w:szCs w:val="24"/>
            <w:lang w:eastAsia="ru-RU"/>
          </w:rPr>
          <w:t>Законом Республики Беларусь от 16 мая 2006 г. № 113-З</w:t>
        </w:r>
      </w:hyperlink>
      <w:r w:rsidR="002E12A3" w:rsidRPr="002E12A3">
        <w:rPr>
          <w:rFonts w:ascii="Times New Roman" w:eastAsia="Times New Roman" w:hAnsi="Times New Roman" w:cs="Times New Roman"/>
          <w:color w:val="212529"/>
          <w:sz w:val="24"/>
          <w:szCs w:val="24"/>
          <w:lang w:eastAsia="ru-RU"/>
        </w:rPr>
        <w:t> (Национальный реестр правовых актов Республики Беларусь, 2006 г., № 26, 2/1198; №78, 2/1210);</w:t>
      </w:r>
    </w:p>
    <w:p w14:paraId="01311849" w14:textId="77777777" w:rsidR="002E12A3" w:rsidRPr="002E12A3" w:rsidRDefault="002D6D58" w:rsidP="002E12A3">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0" w:history="1">
        <w:r w:rsidR="002E12A3" w:rsidRPr="002E12A3">
          <w:rPr>
            <w:rFonts w:ascii="Times New Roman" w:eastAsia="Times New Roman" w:hAnsi="Times New Roman" w:cs="Times New Roman"/>
            <w:color w:val="000CFF"/>
            <w:sz w:val="24"/>
            <w:szCs w:val="24"/>
            <w:lang w:eastAsia="ru-RU"/>
          </w:rPr>
          <w:t>Закон Республики Беларусь от 29 июня 2006 г. № 137-З</w:t>
        </w:r>
      </w:hyperlink>
      <w:r w:rsidR="002E12A3" w:rsidRPr="002E12A3">
        <w:rPr>
          <w:rFonts w:ascii="Times New Roman" w:eastAsia="Times New Roman" w:hAnsi="Times New Roman" w:cs="Times New Roman"/>
          <w:color w:val="212529"/>
          <w:sz w:val="24"/>
          <w:szCs w:val="24"/>
          <w:lang w:eastAsia="ru-RU"/>
        </w:rPr>
        <w:t> (Национальный реестр правовых актов Республики Беларусь, 2006 г., № 107, 2/1235);</w:t>
      </w:r>
    </w:p>
    <w:p w14:paraId="537D6762" w14:textId="77777777" w:rsidR="002E12A3" w:rsidRPr="002E12A3" w:rsidRDefault="002D6D58" w:rsidP="002E12A3">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1" w:history="1">
        <w:r w:rsidR="002E12A3" w:rsidRPr="002E12A3">
          <w:rPr>
            <w:rFonts w:ascii="Times New Roman" w:eastAsia="Times New Roman" w:hAnsi="Times New Roman" w:cs="Times New Roman"/>
            <w:color w:val="000CFF"/>
            <w:sz w:val="24"/>
            <w:szCs w:val="24"/>
            <w:lang w:eastAsia="ru-RU"/>
          </w:rPr>
          <w:t>Закон Республики Беларусь от 22 декабря 2011 г. № 326-З</w:t>
        </w:r>
      </w:hyperlink>
      <w:r w:rsidR="002E12A3" w:rsidRPr="002E12A3">
        <w:rPr>
          <w:rFonts w:ascii="Times New Roman" w:eastAsia="Times New Roman" w:hAnsi="Times New Roman" w:cs="Times New Roman"/>
          <w:color w:val="212529"/>
          <w:sz w:val="24"/>
          <w:szCs w:val="24"/>
          <w:lang w:eastAsia="ru-RU"/>
        </w:rPr>
        <w:t> (Национальный реестр правовых актов Республики Беларусь, 2012 г., № 1, 2/1878);</w:t>
      </w:r>
    </w:p>
    <w:p w14:paraId="0CF403A8" w14:textId="77777777" w:rsidR="002E12A3" w:rsidRPr="002E12A3" w:rsidRDefault="002D6D58" w:rsidP="002E12A3">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2" w:history="1">
        <w:r w:rsidR="002E12A3" w:rsidRPr="002E12A3">
          <w:rPr>
            <w:rFonts w:ascii="Times New Roman" w:eastAsia="Times New Roman" w:hAnsi="Times New Roman" w:cs="Times New Roman"/>
            <w:color w:val="000CFF"/>
            <w:sz w:val="24"/>
            <w:szCs w:val="24"/>
            <w:lang w:eastAsia="ru-RU"/>
          </w:rPr>
          <w:t>Кодекс Республики Беларусь от 28 августа 2012 г. № 428-З</w:t>
        </w:r>
      </w:hyperlink>
      <w:r w:rsidR="002E12A3" w:rsidRPr="002E12A3">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01.09.2012, 2/1980);</w:t>
      </w:r>
    </w:p>
    <w:p w14:paraId="083CF5F0" w14:textId="77777777" w:rsidR="002E12A3" w:rsidRPr="002E12A3" w:rsidRDefault="002D6D58" w:rsidP="002E12A3">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3" w:history="1">
        <w:r w:rsidR="002E12A3" w:rsidRPr="002E12A3">
          <w:rPr>
            <w:rFonts w:ascii="Times New Roman" w:eastAsia="Times New Roman" w:hAnsi="Times New Roman" w:cs="Times New Roman"/>
            <w:color w:val="000CFF"/>
            <w:sz w:val="24"/>
            <w:szCs w:val="24"/>
            <w:lang w:eastAsia="ru-RU"/>
          </w:rPr>
          <w:t>Закон Республики Беларусь от 17 июля 2017 г. № 52-З</w:t>
        </w:r>
      </w:hyperlink>
      <w:r w:rsidR="002E12A3" w:rsidRPr="002E12A3">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22.07.2017, 2/2490);</w:t>
      </w:r>
    </w:p>
    <w:p w14:paraId="25B3AA9E" w14:textId="77777777" w:rsidR="002E12A3" w:rsidRPr="002E12A3" w:rsidRDefault="002D6D58" w:rsidP="002E12A3">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4" w:history="1">
        <w:r w:rsidR="002E12A3" w:rsidRPr="002E12A3">
          <w:rPr>
            <w:rFonts w:ascii="Times New Roman" w:eastAsia="Times New Roman" w:hAnsi="Times New Roman" w:cs="Times New Roman"/>
            <w:color w:val="000CFF"/>
            <w:sz w:val="24"/>
            <w:szCs w:val="24"/>
            <w:lang w:eastAsia="ru-RU"/>
          </w:rPr>
          <w:t>Закон Республики Беларусь от 4 мая 2019 г. № 185-З</w:t>
        </w:r>
      </w:hyperlink>
      <w:r w:rsidR="002E12A3" w:rsidRPr="002E12A3">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30.06.2019, 2/2623)</w:t>
      </w:r>
    </w:p>
    <w:p w14:paraId="78A52C3D"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 </w:t>
      </w:r>
    </w:p>
    <w:p w14:paraId="739F0CE1"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Настоящий Закон устанавливает порядок эмиссии и обращения именных приватизационных чеков Республики Беларусь, их использования в период безвозмездной приватизации государственной собственности в Республике Беларусь, государственные гарантии их владельцам.</w:t>
      </w:r>
    </w:p>
    <w:p w14:paraId="37BE0328"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1. Именной приватизационный чек Республики Беларусь</w:t>
      </w:r>
    </w:p>
    <w:p w14:paraId="0F8BF345"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Именной приватизационный чек Республики Беларусь* является государственной именной ценной бумагой Республики Беларусь, выпущенной на срок, установленный Советом Министров Республики Беларусь по согласованию с Президентом Республики Беларусь.</w:t>
      </w:r>
    </w:p>
    <w:p w14:paraId="07005A76"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Приватизационный чек обеспечен государственной собственностью, подлежащей безвозмездной передаче гражданам Республики Беларусь, свидетельствует о праве его владельца на долю в приватизируемой государственной собственности и выражает размер этой доли (квоту).</w:t>
      </w:r>
    </w:p>
    <w:p w14:paraId="339B23C7"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Приватизационный чек в соответствии с его целевым назначением имеет обозначение «Жилье», «Имущество» и выпускается в виде отпечатанного на бумаге бланка с учетом на банковских счетах.</w:t>
      </w:r>
    </w:p>
    <w:p w14:paraId="61B86AFF" w14:textId="77777777" w:rsidR="002E12A3" w:rsidRPr="002E12A3" w:rsidRDefault="002E12A3" w:rsidP="002E12A3">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______________________________</w:t>
      </w:r>
    </w:p>
    <w:p w14:paraId="7AEDB371" w14:textId="77777777" w:rsidR="002E12A3" w:rsidRPr="002E12A3" w:rsidRDefault="002E12A3" w:rsidP="002E12A3">
      <w:pPr>
        <w:shd w:val="clear" w:color="auto" w:fill="FFFFFF"/>
        <w:spacing w:after="24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 дальнейшем – приватизационный чек.</w:t>
      </w:r>
    </w:p>
    <w:p w14:paraId="0C09EB18"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lastRenderedPageBreak/>
        <w:t>Статья 2. Законодательство Республики Беларусь о приватизационных чеках</w:t>
      </w:r>
    </w:p>
    <w:p w14:paraId="738CA0B4"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Деятельность, связанная с эмиссией, обращением и использованием приватизационных чеков, регулируется настоящим Законом и иным законодательством Республики Беларусь.</w:t>
      </w:r>
    </w:p>
    <w:p w14:paraId="74FE00F0"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3. Право на получение приватизационных чеков</w:t>
      </w:r>
    </w:p>
    <w:p w14:paraId="4F76F897"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Приватизационные чеки получают только граждане Республики Беларусь на сумму чеков, соответствующую их квоте в безвозмездно передаваемой государством собственности.</w:t>
      </w:r>
    </w:p>
    <w:p w14:paraId="222B8702"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Граждане Республики Беларусь, постоянно проживающие на момент введения настоящего Закона в действие за пределами территории республики, если это не связано со служебными обязанностями, воинской службой, учебой или лечением, не имеют права на получение приватизационных чеков.</w:t>
      </w:r>
    </w:p>
    <w:p w14:paraId="7AE71C82"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4. Право на приобретение приватизационных чеков</w:t>
      </w:r>
    </w:p>
    <w:p w14:paraId="0F3D9DB1"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Правом на приобретение приватизационных чеков «Имущество» обладают все субъекты приватизации, определенные в абзаце третьем </w:t>
      </w:r>
      <w:hyperlink r:id="rId15" w:anchor="&amp;Article=1" w:history="1">
        <w:r w:rsidRPr="002E12A3">
          <w:rPr>
            <w:rFonts w:ascii="Times New Roman" w:eastAsia="Times New Roman" w:hAnsi="Times New Roman" w:cs="Times New Roman"/>
            <w:color w:val="000CFF"/>
            <w:sz w:val="24"/>
            <w:szCs w:val="24"/>
            <w:lang w:eastAsia="ru-RU"/>
          </w:rPr>
          <w:t>статьи 1</w:t>
        </w:r>
      </w:hyperlink>
      <w:r w:rsidRPr="002E12A3">
        <w:rPr>
          <w:rFonts w:ascii="Times New Roman" w:eastAsia="Times New Roman" w:hAnsi="Times New Roman" w:cs="Times New Roman"/>
          <w:color w:val="212529"/>
          <w:sz w:val="24"/>
          <w:szCs w:val="24"/>
          <w:lang w:eastAsia="ru-RU"/>
        </w:rPr>
        <w:t> Закона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w:t>
      </w:r>
      <w:proofErr w:type="spellStart"/>
      <w:r w:rsidRPr="002E12A3">
        <w:rPr>
          <w:rFonts w:ascii="Times New Roman" w:eastAsia="Times New Roman" w:hAnsi="Times New Roman" w:cs="Times New Roman"/>
          <w:color w:val="212529"/>
          <w:sz w:val="24"/>
          <w:szCs w:val="24"/>
          <w:lang w:eastAsia="ru-RU"/>
        </w:rPr>
        <w:t>Ведамасцi</w:t>
      </w:r>
      <w:proofErr w:type="spellEnd"/>
      <w:r w:rsidRPr="002E12A3">
        <w:rPr>
          <w:rFonts w:ascii="Times New Roman" w:eastAsia="Times New Roman" w:hAnsi="Times New Roman" w:cs="Times New Roman"/>
          <w:color w:val="212529"/>
          <w:sz w:val="24"/>
          <w:szCs w:val="24"/>
          <w:lang w:eastAsia="ru-RU"/>
        </w:rPr>
        <w:t xml:space="preserve"> </w:t>
      </w:r>
      <w:proofErr w:type="spellStart"/>
      <w:r w:rsidRPr="002E12A3">
        <w:rPr>
          <w:rFonts w:ascii="Times New Roman" w:eastAsia="Times New Roman" w:hAnsi="Times New Roman" w:cs="Times New Roman"/>
          <w:color w:val="212529"/>
          <w:sz w:val="24"/>
          <w:szCs w:val="24"/>
          <w:lang w:eastAsia="ru-RU"/>
        </w:rPr>
        <w:t>Вярхоўнага</w:t>
      </w:r>
      <w:proofErr w:type="spellEnd"/>
      <w:r w:rsidRPr="002E12A3">
        <w:rPr>
          <w:rFonts w:ascii="Times New Roman" w:eastAsia="Times New Roman" w:hAnsi="Times New Roman" w:cs="Times New Roman"/>
          <w:color w:val="212529"/>
          <w:sz w:val="24"/>
          <w:szCs w:val="24"/>
          <w:lang w:eastAsia="ru-RU"/>
        </w:rPr>
        <w:t xml:space="preserve"> </w:t>
      </w:r>
      <w:proofErr w:type="spellStart"/>
      <w:r w:rsidRPr="002E12A3">
        <w:rPr>
          <w:rFonts w:ascii="Times New Roman" w:eastAsia="Times New Roman" w:hAnsi="Times New Roman" w:cs="Times New Roman"/>
          <w:color w:val="212529"/>
          <w:sz w:val="24"/>
          <w:szCs w:val="24"/>
          <w:lang w:eastAsia="ru-RU"/>
        </w:rPr>
        <w:t>Савета</w:t>
      </w:r>
      <w:proofErr w:type="spellEnd"/>
      <w:r w:rsidRPr="002E12A3">
        <w:rPr>
          <w:rFonts w:ascii="Times New Roman" w:eastAsia="Times New Roman" w:hAnsi="Times New Roman" w:cs="Times New Roman"/>
          <w:color w:val="212529"/>
          <w:sz w:val="24"/>
          <w:szCs w:val="24"/>
          <w:lang w:eastAsia="ru-RU"/>
        </w:rPr>
        <w:t xml:space="preserve"> </w:t>
      </w:r>
      <w:proofErr w:type="spellStart"/>
      <w:r w:rsidRPr="002E12A3">
        <w:rPr>
          <w:rFonts w:ascii="Times New Roman" w:eastAsia="Times New Roman" w:hAnsi="Times New Roman" w:cs="Times New Roman"/>
          <w:color w:val="212529"/>
          <w:sz w:val="24"/>
          <w:szCs w:val="24"/>
          <w:lang w:eastAsia="ru-RU"/>
        </w:rPr>
        <w:t>Рэспублiкi</w:t>
      </w:r>
      <w:proofErr w:type="spellEnd"/>
      <w:r w:rsidRPr="002E12A3">
        <w:rPr>
          <w:rFonts w:ascii="Times New Roman" w:eastAsia="Times New Roman" w:hAnsi="Times New Roman" w:cs="Times New Roman"/>
          <w:color w:val="212529"/>
          <w:sz w:val="24"/>
          <w:szCs w:val="24"/>
          <w:lang w:eastAsia="ru-RU"/>
        </w:rPr>
        <w:t xml:space="preserve"> Беларусь, 1993 г., № 7, ст. 41; Национальный реестр правовых актов Республики Беларусь, 2010 г., № 184, 2/1724).</w:t>
      </w:r>
    </w:p>
    <w:p w14:paraId="49D74985"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Правом на приобретение приватизационных чеков «Жилье» обладают граждане Республики Беларусь и иные лица в порядке наследования либо по решению суда, а также в иных случаях, предусмотренных законодательными актами.</w:t>
      </w:r>
    </w:p>
    <w:p w14:paraId="632C5253"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5. Реализация права на получение и приобретение приватизационных чеков</w:t>
      </w:r>
    </w:p>
    <w:p w14:paraId="365F2048"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Граждане Республики Беларусь реализуют право владения приватизационными чеками путем их получения или приобретения в соответствии с настоящим Законом и иным законодательством о приватизации.</w:t>
      </w:r>
    </w:p>
    <w:p w14:paraId="7A6633BC"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Интересы несовершеннолетних детей, ограниченных в дееспособности лиц и недееспособных граждан по реализации права на получение и приобретение приватизационных чеков представляют их законные представители (родители, попечители, опекуны и другие лица).</w:t>
      </w:r>
    </w:p>
    <w:p w14:paraId="3DDB9B5F"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Порядок представления и защиты интересов несовершеннолетних детей, находящихся на государственном обеспечении, при получении и приобретении приватизационных чеков определяется законодательством Республики Беларусь.</w:t>
      </w:r>
    </w:p>
    <w:p w14:paraId="2CE470E4"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6. Номинальная стоимость чека</w:t>
      </w:r>
    </w:p>
    <w:p w14:paraId="52CBAB73"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Размер доли (квоты) государственной собственности, приходящейся на каждого гражданина Республики Беларусь, выражается суммой чеков, определенной в соответствии со </w:t>
      </w:r>
      <w:hyperlink r:id="rId16" w:anchor="&amp;Article=7" w:history="1">
        <w:r w:rsidRPr="002E12A3">
          <w:rPr>
            <w:rFonts w:ascii="Times New Roman" w:eastAsia="Times New Roman" w:hAnsi="Times New Roman" w:cs="Times New Roman"/>
            <w:color w:val="000CFF"/>
            <w:sz w:val="24"/>
            <w:szCs w:val="24"/>
            <w:lang w:eastAsia="ru-RU"/>
          </w:rPr>
          <w:t>статьей 7</w:t>
        </w:r>
      </w:hyperlink>
      <w:r w:rsidRPr="002E12A3">
        <w:rPr>
          <w:rFonts w:ascii="Times New Roman" w:eastAsia="Times New Roman" w:hAnsi="Times New Roman" w:cs="Times New Roman"/>
          <w:color w:val="212529"/>
          <w:sz w:val="24"/>
          <w:szCs w:val="24"/>
          <w:lang w:eastAsia="ru-RU"/>
        </w:rPr>
        <w:t> настоящего Закона.</w:t>
      </w:r>
    </w:p>
    <w:p w14:paraId="6A7D45B3"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Номинальная стоимость одного чека определяется Советом Министров Республики Беларусь исходя из общей стоимости приватизируемой государственной собственности, безвозмездно передаваемой гражданам Республики Беларусь, и общего количества чеков, причитающихся всем гражданам Республики Беларусь.</w:t>
      </w:r>
    </w:p>
    <w:p w14:paraId="62E7C595"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lastRenderedPageBreak/>
        <w:t>При переоценке стоимости государственной собственности, подлежащей безвозмездной приватизации, стоимость неиспользованного приватизационного чека «Имущество» индексируется в той же пропорции.</w:t>
      </w:r>
    </w:p>
    <w:p w14:paraId="7093D1FF"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7. Порядок определения сумм чеков, получаемых гражданином Республики Беларусь</w:t>
      </w:r>
    </w:p>
    <w:p w14:paraId="71EC20EA"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Сумма чеков «Имущество», выдаваемая гражданину Республики Беларусь, устанавливается в зависимости от его трудового стажа и возраста, которые определяются на момент введения настоящего Закона в действие и подтверждены документами.</w:t>
      </w:r>
    </w:p>
    <w:p w14:paraId="0AB7A5D3"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Приватизационные чеки «Имущество» выдаются лицам:</w:t>
      </w:r>
    </w:p>
    <w:p w14:paraId="42614A06"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старше 35 лет – 50 чеков;</w:t>
      </w:r>
    </w:p>
    <w:p w14:paraId="29618EC4"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 возрасте от 30 до 35 лет – 40 чеков;</w:t>
      </w:r>
    </w:p>
    <w:p w14:paraId="1EAEACBA"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 возрасте от 25 до 30 лет – 30 чеков;</w:t>
      </w:r>
    </w:p>
    <w:p w14:paraId="2E2525E7"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 возрасте от 16 до 25 лет – 20 чеков;</w:t>
      </w:r>
    </w:p>
    <w:p w14:paraId="622BC996"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инвалидам І и ІІ групп из числа военнослужащих и вследствие общего заболевания (кроме случаев, когда инвалидность наступила в результате их противоправных действий), а также инвалидам І и ІІ групп с детства независимо от их возраста – 50 чеков;</w:t>
      </w:r>
    </w:p>
    <w:p w14:paraId="44E161F3"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инвалидам Великой Отечественной войны и к ним приравненным, а также инвалидам вследствие трудового увечья или профессионального заболевания независимо от возраста – 50 чеков;</w:t>
      </w:r>
    </w:p>
    <w:p w14:paraId="157774AE"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родителям (одному из них) на каждого ребенка, которому не исполнилось 16 лет, – 10 чеков, а в случае смерти или лишения родительских прав одного из родителей – 30 чеков;</w:t>
      </w:r>
    </w:p>
    <w:p w14:paraId="22C4030A"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на каждого ребенка, оставшегося без родительской опеки и находящегося в опекунской (приемной) семье, доме семейного типа или в детском интернатном учреждении, его законному представителю – 50 чеков.</w:t>
      </w:r>
    </w:p>
    <w:p w14:paraId="54B56994"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К исчисленной таким образом сумме чеков добавляются чеки, получаемые гражданами в зависимости от трудового стажа, в соотношении: за один полный календарный год стажа – один чек.</w:t>
      </w:r>
    </w:p>
    <w:p w14:paraId="4EA02F87"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Дополнительно начисляются:</w:t>
      </w:r>
    </w:p>
    <w:p w14:paraId="724C22EF"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инвалидам Великой Отечественной войны и к ним приравненным, а также инвалидам вследствие трудового увечья или профессионального заболевания – 30 чеков;</w:t>
      </w:r>
    </w:p>
    <w:p w14:paraId="6DE5234E"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участникам Великой Отечественной войны – 15 чеков, а приравненным к ним гражданам и гражданам, необоснованно репрессированным по политическим мотивам в период репрессий 20–80-х годов, а затем реабилитированным, – 10 чеков;</w:t>
      </w:r>
    </w:p>
    <w:p w14:paraId="0A886A8A"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владельцам вкладов в учреждениях Сберегательного банка по состоянию на 1 января 1991 года в порядке и размерах, определенных Советом Министров Республики Беларусь.</w:t>
      </w:r>
    </w:p>
    <w:p w14:paraId="2E6BE5B5"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При возникновении споров о продолжительности трудового стажа сумма чеков, получаемых гражданами за бесспорную часть стажа, выдается до разрешения спора, остальная сумма выдается по итогам разрешения спора.</w:t>
      </w:r>
    </w:p>
    <w:p w14:paraId="7C5825B8"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8. Эмиссия приватизационных чеков</w:t>
      </w:r>
    </w:p>
    <w:p w14:paraId="5CAC034C"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Эмиссия приватизационных чеков Республики Беларусь «Жилье» и «Имущество» осуществляется Советом Министров Республики Беларусь единовременно.</w:t>
      </w:r>
    </w:p>
    <w:p w14:paraId="4E075366"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9. Бланки приватизационных чеков</w:t>
      </w:r>
    </w:p>
    <w:p w14:paraId="0A175343"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Вид бланка приватизационного чека, порядок изготовления и выдачи устанавливаются Советом Министров Республики Беларусь.</w:t>
      </w:r>
    </w:p>
    <w:p w14:paraId="3BE1F7B3"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lastRenderedPageBreak/>
        <w:t>На бланке приватизационного чека Республики Беларусь указывается целевое назначение приватизационного чека.</w:t>
      </w:r>
    </w:p>
    <w:p w14:paraId="66E85701"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Порядок хранения и учета бланков приватизационных чеков определяется Советом Министров Республики Беларусь.</w:t>
      </w:r>
    </w:p>
    <w:p w14:paraId="7A5EBE6A"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10. Выдача и переоформление приватизационных чеков</w:t>
      </w:r>
    </w:p>
    <w:p w14:paraId="1FBBEEC8"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Выдача приватизационных чеков производится по территориальному принципу банковскими учреждениями на основании заявления гражданина Республики Беларусь. Перечень банков, осуществляющих выдачу, устанавливается Советом Министров Республики Беларусь.</w:t>
      </w:r>
    </w:p>
    <w:p w14:paraId="07C43551"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Выдача приватизационных чеков производится по спискам, утвержденным местными Советами депутатов.</w:t>
      </w:r>
    </w:p>
    <w:p w14:paraId="0D3E22EB"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Владельцы приватизационных чеков «Имущество» вправе произвести их переоформление с целью разделения, объединения, передачи другому лицу или по другим основаниям, определенным законодательством Республики Беларусь. Переоформление приватизационных чеков «Жилье» производится при получении их гражданами Республики Беларусь и иными лицами в порядке наследования либо по решению суда, а также в иных случаях, предусмотренных законодательными актами.</w:t>
      </w:r>
    </w:p>
    <w:p w14:paraId="23CE5795"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Переоформление приватизационных чеков взамен сдаваемых осуществляется по месту выдачи на основании письменного заявления владельца после проверки подлинности приватизационного чека. При этом банковские учреждения, обладающие правом выдачи приватизационных чеков, обязаны принять их для переоформления. Переоформление чеков производится в двухнедельный срок с момента обращения владельца.</w:t>
      </w:r>
    </w:p>
    <w:p w14:paraId="3E02AA2C"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Выдача приватизационных чеков «Жилье» прекращается с 1 января 2007 года, за исключением случаев, предусмотренных законодательными актами.</w:t>
      </w:r>
    </w:p>
    <w:p w14:paraId="074738EC"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11. Использование приватизационных чеков</w:t>
      </w:r>
    </w:p>
    <w:p w14:paraId="525F6E87"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Граждане Республики Беларусь, владеющие приватизационными чеками «Имущество», могут:</w:t>
      </w:r>
    </w:p>
    <w:p w14:paraId="3220251C"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продавать (полностью или частично) принадлежащие им чеки с обязательным переоформлением в соответствии с частью четвертой </w:t>
      </w:r>
      <w:hyperlink r:id="rId17" w:anchor="&amp;Article=10" w:history="1">
        <w:r w:rsidRPr="002E12A3">
          <w:rPr>
            <w:rFonts w:ascii="Times New Roman" w:eastAsia="Times New Roman" w:hAnsi="Times New Roman" w:cs="Times New Roman"/>
            <w:color w:val="000CFF"/>
            <w:sz w:val="24"/>
            <w:szCs w:val="24"/>
            <w:lang w:eastAsia="ru-RU"/>
          </w:rPr>
          <w:t>статьи 10</w:t>
        </w:r>
      </w:hyperlink>
      <w:r w:rsidRPr="002E12A3">
        <w:rPr>
          <w:rFonts w:ascii="Times New Roman" w:eastAsia="Times New Roman" w:hAnsi="Times New Roman" w:cs="Times New Roman"/>
          <w:color w:val="212529"/>
          <w:sz w:val="24"/>
          <w:szCs w:val="24"/>
          <w:lang w:eastAsia="ru-RU"/>
        </w:rPr>
        <w:t>настоящего Закона;</w:t>
      </w:r>
    </w:p>
    <w:p w14:paraId="163C6483"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передавать чеки в распоряжение доверенного лица или организации на договорных условиях;</w:t>
      </w:r>
    </w:p>
    <w:p w14:paraId="25E8B80E"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использовать чеки при приобретении приватизируемых государственных объектов (акций, долей, паев в имуществе таких объектов);</w:t>
      </w:r>
    </w:p>
    <w:p w14:paraId="6BE9A8FB"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завещать чеки в установленном законодательством Республики Беларусь порядке. Приватизационные чеки «Имущество» используются владельцами при приобретении в собственность объектов приватизации государственного имущества в соответствии с законодательством Республики Беларусь о приватизации.</w:t>
      </w:r>
    </w:p>
    <w:p w14:paraId="7E04925A"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Граждане и члены их семей, состоящие на учете нуждающихся в улучшении жилищных условий, владеющие приватизационными чеками «Жилье», могут использовать их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блокированных, одноквартирных жилых домов; долевого участия в жилищном строительстве, приобретения жилых помещений путем покупки, погашения задолженности по кредитам банков (включая выплату процентов за пользование ими) и ссудам организаций, полученным и использованным на указанные цели.</w:t>
      </w:r>
    </w:p>
    <w:p w14:paraId="106F7990"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lastRenderedPageBreak/>
        <w:t>Приватизационные чеки «Жилье» не подлежат отчуждению, за исключением случаев дарения их по нотариально удостоверенному договору супругу (супруге), родителям, детям, усыновителям (</w:t>
      </w:r>
      <w:proofErr w:type="spellStart"/>
      <w:r w:rsidRPr="002E12A3">
        <w:rPr>
          <w:rFonts w:ascii="Times New Roman" w:eastAsia="Times New Roman" w:hAnsi="Times New Roman" w:cs="Times New Roman"/>
          <w:color w:val="212529"/>
          <w:sz w:val="24"/>
          <w:szCs w:val="24"/>
          <w:lang w:eastAsia="ru-RU"/>
        </w:rPr>
        <w:t>удочерителям</w:t>
      </w:r>
      <w:proofErr w:type="spellEnd"/>
      <w:r w:rsidRPr="002E12A3">
        <w:rPr>
          <w:rFonts w:ascii="Times New Roman" w:eastAsia="Times New Roman" w:hAnsi="Times New Roman" w:cs="Times New Roman"/>
          <w:color w:val="212529"/>
          <w:sz w:val="24"/>
          <w:szCs w:val="24"/>
          <w:lang w:eastAsia="ru-RU"/>
        </w:rPr>
        <w:t>), усыновленным (удочеренным), родным братьям и сестрам, деду, бабке, внукам, перехода права собственности в порядке наследования либо по решению суда.</w:t>
      </w:r>
    </w:p>
    <w:p w14:paraId="1F974E53"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12. Обращение приватизационных чеков</w:t>
      </w:r>
    </w:p>
    <w:p w14:paraId="0AA484CC"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Обращение приватизационных чеков регулируется законодательством Республики Беларусь.</w:t>
      </w:r>
    </w:p>
    <w:p w14:paraId="648733E3"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Контроль за обращением приватизационных чеков осуществляет республиканский орган государственного управления рынком ценных бумаг.</w:t>
      </w:r>
    </w:p>
    <w:p w14:paraId="31DE8AFE"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Срок обращения именных приватизационных чеков определяется Советом Министров Республики Беларусь по согласованию с Президентом Республики Беларусь.</w:t>
      </w:r>
    </w:p>
    <w:p w14:paraId="418711F5"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13. Государственные гарантии владельцам приватизационных чеков</w:t>
      </w:r>
    </w:p>
    <w:p w14:paraId="75C8BC1E"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Государство гарантирует владельцам приватизационных чеков свободу распоряжения ими и использование их в соответствии с настоящим Законом и иными актами законодательства.</w:t>
      </w:r>
    </w:p>
    <w:p w14:paraId="30E5BC1E"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По истечении срока обращения приватизационных чеков не использованные владельцем чеки могут быть предъявлены для погашения по месту выдачи или Национальному банку Республики Беларусь. Государство гарантирует гражданину Республики Беларусь – владельцу погашаемых чеков – выплату компенсации в пределах сумм чеков, полученных им в соответствии со </w:t>
      </w:r>
      <w:hyperlink r:id="rId18" w:anchor="&amp;Article=7" w:history="1">
        <w:r w:rsidRPr="002E12A3">
          <w:rPr>
            <w:rFonts w:ascii="Times New Roman" w:eastAsia="Times New Roman" w:hAnsi="Times New Roman" w:cs="Times New Roman"/>
            <w:color w:val="000CFF"/>
            <w:sz w:val="24"/>
            <w:szCs w:val="24"/>
            <w:lang w:eastAsia="ru-RU"/>
          </w:rPr>
          <w:t>статьей 7</w:t>
        </w:r>
      </w:hyperlink>
      <w:r w:rsidRPr="002E12A3">
        <w:rPr>
          <w:rFonts w:ascii="Times New Roman" w:eastAsia="Times New Roman" w:hAnsi="Times New Roman" w:cs="Times New Roman"/>
          <w:color w:val="212529"/>
          <w:sz w:val="24"/>
          <w:szCs w:val="24"/>
          <w:lang w:eastAsia="ru-RU"/>
        </w:rPr>
        <w:t> настоящего Закона.</w:t>
      </w:r>
    </w:p>
    <w:p w14:paraId="786E900E"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Срок и порядок выплаты компенсации за неиспользованные приватизационные чеки и их стоимость устанавливаются Советом Министров Республики Беларусь по согласованию с Президентом Республики Беларусь.</w:t>
      </w:r>
    </w:p>
    <w:p w14:paraId="44995C07"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Государство обеспечивает хранение документов, на основании которых происходит выдача, переоформление, обращение и использование приватизационных чеков, в течение сроков, необходимых для разрешения имущественных споров.</w:t>
      </w:r>
    </w:p>
    <w:p w14:paraId="4A6C4498" w14:textId="77777777" w:rsidR="002E12A3" w:rsidRPr="002E12A3" w:rsidRDefault="002E12A3"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2E12A3">
        <w:rPr>
          <w:rFonts w:ascii="Times New Roman" w:eastAsia="Times New Roman" w:hAnsi="Times New Roman" w:cs="Times New Roman"/>
          <w:b/>
          <w:bCs/>
          <w:color w:val="212529"/>
          <w:sz w:val="24"/>
          <w:szCs w:val="24"/>
          <w:lang w:eastAsia="ru-RU"/>
        </w:rPr>
        <w:t>Статья 14. Ответственность за нарушение законодательства о приватизационных чеках</w:t>
      </w:r>
    </w:p>
    <w:p w14:paraId="36906312"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Сделки, связанные с использованием, переоформлением и обращением приватизационных чеков, заключенные с нарушением настоящего Закона и иного законодательства Республики Беларусь, признаются недействительными.</w:t>
      </w:r>
    </w:p>
    <w:p w14:paraId="5C3579F0"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Споры по выдаче, переоформлению, обращению, использованию и погашению приватизационных чеков рассматриваются в суде. Дела о правонарушениях, касающихся исчисления стажа, рассматриваются судьей единолично по заявлениям (жалобам) любых заинтересованных лиц или по инициативе прокурора.</w:t>
      </w:r>
    </w:p>
    <w:p w14:paraId="0A93C235"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Должностные лица, препятствующие своими незаконными действиями правомерной выдаче, переоформлению, обращению, использованию и погашению приватизационных чеков, несут дисциплинарную, административную и уголовную ответственность в соответствии с законодательством Республики Беларусь.</w:t>
      </w:r>
    </w:p>
    <w:p w14:paraId="618E32CF" w14:textId="77777777" w:rsidR="002E12A3" w:rsidRPr="002E12A3" w:rsidRDefault="002E12A3" w:rsidP="002E12A3">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2E12A3">
        <w:rPr>
          <w:rFonts w:ascii="Times New Roman" w:eastAsia="Times New Roman" w:hAnsi="Times New Roman" w:cs="Times New Roman"/>
          <w:color w:val="212529"/>
          <w:sz w:val="24"/>
          <w:szCs w:val="24"/>
          <w:lang w:eastAsia="ru-RU"/>
        </w:rPr>
        <w:t> </w:t>
      </w:r>
    </w:p>
    <w:p w14:paraId="35A7C70E" w14:textId="5F5FA106" w:rsidR="00532F74" w:rsidRPr="00D167A5" w:rsidRDefault="00D167A5" w:rsidP="00D167A5">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D167A5">
        <w:rPr>
          <w:rFonts w:ascii="Times New Roman" w:eastAsia="Times New Roman" w:hAnsi="Times New Roman" w:cs="Times New Roman"/>
          <w:b/>
          <w:bCs/>
          <w:color w:val="212529"/>
          <w:sz w:val="24"/>
          <w:szCs w:val="24"/>
          <w:lang w:eastAsia="ru-RU"/>
        </w:rPr>
        <w:t>Председатель Верховного Совета</w:t>
      </w:r>
      <w:r>
        <w:rPr>
          <w:rFonts w:ascii="Times New Roman" w:eastAsia="Times New Roman" w:hAnsi="Times New Roman" w:cs="Times New Roman"/>
          <w:b/>
          <w:bCs/>
          <w:color w:val="212529"/>
          <w:sz w:val="24"/>
          <w:szCs w:val="24"/>
          <w:lang w:eastAsia="ru-RU"/>
        </w:rPr>
        <w:t xml:space="preserve"> </w:t>
      </w:r>
      <w:r w:rsidRPr="00D167A5">
        <w:rPr>
          <w:rFonts w:ascii="Times New Roman" w:eastAsia="Times New Roman" w:hAnsi="Times New Roman" w:cs="Times New Roman"/>
          <w:b/>
          <w:bCs/>
          <w:color w:val="212529"/>
          <w:sz w:val="24"/>
          <w:szCs w:val="24"/>
          <w:lang w:eastAsia="ru-RU"/>
        </w:rPr>
        <w:t>Республики Беларусь</w:t>
      </w:r>
      <w:r>
        <w:rPr>
          <w:rFonts w:ascii="Times New Roman" w:eastAsia="Times New Roman" w:hAnsi="Times New Roman" w:cs="Times New Roman"/>
          <w:b/>
          <w:bCs/>
          <w:color w:val="212529"/>
          <w:sz w:val="24"/>
          <w:szCs w:val="24"/>
          <w:lang w:eastAsia="ru-RU"/>
        </w:rPr>
        <w:tab/>
      </w:r>
      <w:r>
        <w:rPr>
          <w:rFonts w:ascii="Times New Roman" w:eastAsia="Times New Roman" w:hAnsi="Times New Roman" w:cs="Times New Roman"/>
          <w:b/>
          <w:bCs/>
          <w:color w:val="212529"/>
          <w:sz w:val="24"/>
          <w:szCs w:val="24"/>
          <w:lang w:eastAsia="ru-RU"/>
        </w:rPr>
        <w:tab/>
      </w:r>
      <w:r>
        <w:rPr>
          <w:rFonts w:ascii="Times New Roman" w:eastAsia="Times New Roman" w:hAnsi="Times New Roman" w:cs="Times New Roman"/>
          <w:b/>
          <w:bCs/>
          <w:color w:val="212529"/>
          <w:sz w:val="24"/>
          <w:szCs w:val="24"/>
          <w:lang w:eastAsia="ru-RU"/>
        </w:rPr>
        <w:tab/>
      </w:r>
      <w:proofErr w:type="spellStart"/>
      <w:r w:rsidRPr="00D167A5">
        <w:rPr>
          <w:rFonts w:ascii="Times New Roman" w:eastAsia="Times New Roman" w:hAnsi="Times New Roman" w:cs="Times New Roman"/>
          <w:b/>
          <w:bCs/>
          <w:color w:val="212529"/>
          <w:sz w:val="24"/>
          <w:szCs w:val="24"/>
          <w:lang w:eastAsia="ru-RU"/>
        </w:rPr>
        <w:t>С.Шушкевич</w:t>
      </w:r>
      <w:proofErr w:type="spellEnd"/>
    </w:p>
    <w:sectPr w:rsidR="00532F74" w:rsidRPr="00D16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A3"/>
    <w:rsid w:val="002D6D58"/>
    <w:rsid w:val="002E12A3"/>
    <w:rsid w:val="00532F74"/>
    <w:rsid w:val="00D1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E12A3"/>
  </w:style>
  <w:style w:type="character" w:customStyle="1" w:styleId="datepr">
    <w:name w:val="datepr"/>
    <w:basedOn w:val="a0"/>
    <w:rsid w:val="002E12A3"/>
  </w:style>
  <w:style w:type="character" w:customStyle="1" w:styleId="number">
    <w:name w:val="number"/>
    <w:basedOn w:val="a0"/>
    <w:rsid w:val="002E12A3"/>
  </w:style>
  <w:style w:type="paragraph" w:customStyle="1" w:styleId="1">
    <w:name w:val="Заголовок1"/>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12A3"/>
    <w:rPr>
      <w:color w:val="0000FF"/>
      <w:u w:val="single"/>
    </w:rPr>
  </w:style>
  <w:style w:type="paragraph" w:customStyle="1" w:styleId="preamble">
    <w:name w:val="preamble"/>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2E12A3"/>
  </w:style>
  <w:style w:type="character" w:customStyle="1" w:styleId="pers">
    <w:name w:val="pers"/>
    <w:basedOn w:val="a0"/>
    <w:rsid w:val="002E12A3"/>
  </w:style>
  <w:style w:type="paragraph" w:customStyle="1" w:styleId="p-normal">
    <w:name w:val="p-normal"/>
    <w:basedOn w:val="a"/>
    <w:rsid w:val="00D16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D167A5"/>
  </w:style>
  <w:style w:type="character" w:customStyle="1" w:styleId="fake-non-breaking-space">
    <w:name w:val="fake-non-breaking-space"/>
    <w:basedOn w:val="a0"/>
    <w:rsid w:val="00D16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E12A3"/>
  </w:style>
  <w:style w:type="character" w:customStyle="1" w:styleId="datepr">
    <w:name w:val="datepr"/>
    <w:basedOn w:val="a0"/>
    <w:rsid w:val="002E12A3"/>
  </w:style>
  <w:style w:type="character" w:customStyle="1" w:styleId="number">
    <w:name w:val="number"/>
    <w:basedOn w:val="a0"/>
    <w:rsid w:val="002E12A3"/>
  </w:style>
  <w:style w:type="paragraph" w:customStyle="1" w:styleId="1">
    <w:name w:val="Заголовок1"/>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12A3"/>
    <w:rPr>
      <w:color w:val="0000FF"/>
      <w:u w:val="single"/>
    </w:rPr>
  </w:style>
  <w:style w:type="paragraph" w:customStyle="1" w:styleId="preamble">
    <w:name w:val="preamble"/>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2E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2E12A3"/>
  </w:style>
  <w:style w:type="character" w:customStyle="1" w:styleId="pers">
    <w:name w:val="pers"/>
    <w:basedOn w:val="a0"/>
    <w:rsid w:val="002E12A3"/>
  </w:style>
  <w:style w:type="paragraph" w:customStyle="1" w:styleId="p-normal">
    <w:name w:val="p-normal"/>
    <w:basedOn w:val="a"/>
    <w:rsid w:val="00D16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D167A5"/>
  </w:style>
  <w:style w:type="character" w:customStyle="1" w:styleId="fake-non-breaking-space">
    <w:name w:val="fake-non-breaking-space"/>
    <w:basedOn w:val="a0"/>
    <w:rsid w:val="00D1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7275">
      <w:bodyDiv w:val="1"/>
      <w:marLeft w:val="0"/>
      <w:marRight w:val="0"/>
      <w:marTop w:val="0"/>
      <w:marBottom w:val="0"/>
      <w:divBdr>
        <w:top w:val="none" w:sz="0" w:space="0" w:color="auto"/>
        <w:left w:val="none" w:sz="0" w:space="0" w:color="auto"/>
        <w:bottom w:val="none" w:sz="0" w:space="0" w:color="auto"/>
        <w:right w:val="none" w:sz="0" w:space="0" w:color="auto"/>
      </w:divBdr>
    </w:div>
    <w:div w:id="1335303104">
      <w:bodyDiv w:val="1"/>
      <w:marLeft w:val="0"/>
      <w:marRight w:val="0"/>
      <w:marTop w:val="0"/>
      <w:marBottom w:val="0"/>
      <w:divBdr>
        <w:top w:val="none" w:sz="0" w:space="0" w:color="auto"/>
        <w:left w:val="none" w:sz="0" w:space="0" w:color="auto"/>
        <w:bottom w:val="none" w:sz="0" w:space="0" w:color="auto"/>
        <w:right w:val="none" w:sz="0" w:space="0" w:color="auto"/>
      </w:divBdr>
      <w:divsChild>
        <w:div w:id="62091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10600101" TargetMode="External"/><Relationship Id="rId13" Type="http://schemas.openxmlformats.org/officeDocument/2006/relationships/hyperlink" Target="https://etalonline.by/webnpa/text.asp?RN=H11700052" TargetMode="External"/><Relationship Id="rId18" Type="http://schemas.openxmlformats.org/officeDocument/2006/relationships/hyperlink" Target="https://etalonline.by/document/?regnum=v19302468&amp;q_id=2993098" TargetMode="External"/><Relationship Id="rId3" Type="http://schemas.openxmlformats.org/officeDocument/2006/relationships/settings" Target="settings.xml"/><Relationship Id="rId7" Type="http://schemas.openxmlformats.org/officeDocument/2006/relationships/hyperlink" Target="https://etalonline.by/webnpa/text.asp?RN=H19900227" TargetMode="External"/><Relationship Id="rId12" Type="http://schemas.openxmlformats.org/officeDocument/2006/relationships/hyperlink" Target="https://etalonline.by/webnpa/text.asp?RN=Hk1200428" TargetMode="External"/><Relationship Id="rId17" Type="http://schemas.openxmlformats.org/officeDocument/2006/relationships/hyperlink" Target="https://etalonline.by/webnpa/text.asp?RN=V19302468" TargetMode="External"/><Relationship Id="rId2" Type="http://schemas.microsoft.com/office/2007/relationships/stylesWithEffects" Target="stylesWithEffects.xml"/><Relationship Id="rId16" Type="http://schemas.openxmlformats.org/officeDocument/2006/relationships/hyperlink" Target="https://etalonline.by/document/?regnum=v19302468&amp;q_id=299309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webnpa/text.asp?RN=V19402735" TargetMode="External"/><Relationship Id="rId11" Type="http://schemas.openxmlformats.org/officeDocument/2006/relationships/hyperlink" Target="https://etalonline.by/webnpa/text.asp?RN=H11100326" TargetMode="External"/><Relationship Id="rId5" Type="http://schemas.openxmlformats.org/officeDocument/2006/relationships/hyperlink" Target="https://etalonline.by/webnpa/text.asp?RN=V19402711" TargetMode="External"/><Relationship Id="rId15" Type="http://schemas.openxmlformats.org/officeDocument/2006/relationships/hyperlink" Target="https://etalonline.by/webnpa/text.asp?RN=V19302103" TargetMode="External"/><Relationship Id="rId10" Type="http://schemas.openxmlformats.org/officeDocument/2006/relationships/hyperlink" Target="https://etalonline.by/webnpa/text.asp?RN=H106001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alonline.by/webnpa/text.asp?RN=h10600113" TargetMode="External"/><Relationship Id="rId14" Type="http://schemas.openxmlformats.org/officeDocument/2006/relationships/hyperlink" Target="https://etalonline.by/webnpa/text.asp?RN=H11900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Е. Споткай</dc:creator>
  <cp:lastModifiedBy>Екатерина А. Милохова</cp:lastModifiedBy>
  <cp:revision>2</cp:revision>
  <dcterms:created xsi:type="dcterms:W3CDTF">2023-04-12T12:18:00Z</dcterms:created>
  <dcterms:modified xsi:type="dcterms:W3CDTF">2023-04-12T12:18:00Z</dcterms:modified>
</cp:coreProperties>
</file>