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07B44" w14:textId="77777777" w:rsidR="0089766F" w:rsidRDefault="0089766F">
      <w:pPr>
        <w:pStyle w:val="newncpi"/>
        <w:ind w:firstLine="0"/>
        <w:jc w:val="center"/>
      </w:pPr>
      <w:bookmarkStart w:id="0" w:name="_GoBack"/>
      <w:bookmarkEnd w:id="0"/>
      <w:r>
        <w:rPr>
          <w:rStyle w:val="name"/>
        </w:rPr>
        <w:t xml:space="preserve">УКАЗ </w:t>
      </w:r>
      <w:r>
        <w:rPr>
          <w:rStyle w:val="promulgator"/>
        </w:rPr>
        <w:t>ПРЕЗИДЕНТА РЕСПУБЛИКИ БЕЛАРУСЬ</w:t>
      </w:r>
    </w:p>
    <w:p w14:paraId="47B5E201" w14:textId="77777777" w:rsidR="0089766F" w:rsidRDefault="0089766F">
      <w:pPr>
        <w:pStyle w:val="newncpi"/>
        <w:ind w:firstLine="0"/>
        <w:jc w:val="center"/>
      </w:pPr>
      <w:r>
        <w:rPr>
          <w:rStyle w:val="datepr"/>
        </w:rPr>
        <w:t>28 апреля 2006 г.</w:t>
      </w:r>
      <w:r>
        <w:rPr>
          <w:rStyle w:val="number"/>
        </w:rPr>
        <w:t xml:space="preserve"> № 277</w:t>
      </w:r>
    </w:p>
    <w:p w14:paraId="27AC1569" w14:textId="77777777" w:rsidR="0089766F" w:rsidRDefault="0089766F">
      <w:pPr>
        <w:pStyle w:val="1"/>
      </w:pPr>
      <w:r>
        <w:t>О некоторых вопросах регулирования рынка ценных бумаг</w:t>
      </w:r>
    </w:p>
    <w:p w14:paraId="0FBE16D8" w14:textId="77777777" w:rsidR="0089766F" w:rsidRDefault="0089766F">
      <w:pPr>
        <w:pStyle w:val="changei"/>
      </w:pPr>
      <w:r>
        <w:t>Изменения и дополнения:</w:t>
      </w:r>
    </w:p>
    <w:p w14:paraId="0A7F0AB4" w14:textId="77777777" w:rsidR="0089766F" w:rsidRDefault="0089766F">
      <w:pPr>
        <w:pStyle w:val="changeadd"/>
      </w:pPr>
      <w:r>
        <w:t>Указ Президента Республики Беларусь от 28 августа 2006 г. № 537 (Национальный реестр правовых актов Республики Беларусь, 2006 г., № 142, 1/7862) &lt;P30600537&gt;;</w:t>
      </w:r>
    </w:p>
    <w:p w14:paraId="46CA51A3" w14:textId="77777777" w:rsidR="0089766F" w:rsidRDefault="0089766F">
      <w:pPr>
        <w:pStyle w:val="changeadd"/>
      </w:pPr>
      <w:r>
        <w:t>Указ Президента Республики Беларусь от 23 октября 2006 г. № 630 (Национальный реестр правовых актов Республики Беларусь, 2006 г., № 179, 1/8023) &lt;P30600630&gt;;</w:t>
      </w:r>
    </w:p>
    <w:p w14:paraId="5AAAC789" w14:textId="77777777" w:rsidR="0089766F" w:rsidRDefault="0089766F">
      <w:pPr>
        <w:pStyle w:val="changeadd"/>
      </w:pPr>
      <w:r>
        <w:t>Указ Президента Республики Беларусь от 10 января 2007 г. № 13 (Национальный реестр правовых актов Республики Беларусь, 2007 г., № 15, 1/8251) &lt;P30700013&gt;;</w:t>
      </w:r>
    </w:p>
    <w:p w14:paraId="64B5AD22" w14:textId="77777777" w:rsidR="0089766F" w:rsidRDefault="0089766F">
      <w:pPr>
        <w:pStyle w:val="changeadd"/>
      </w:pPr>
      <w:r>
        <w:t>Указ Президента Республики Беларусь от 26 января 2007 г. № 41 (Национальный реестр правовых актов Республики Беларусь, 2007 г., № 28, 1/8295) &lt;P30700041&gt;;</w:t>
      </w:r>
    </w:p>
    <w:p w14:paraId="28BFCD71" w14:textId="77777777" w:rsidR="0089766F" w:rsidRDefault="0089766F">
      <w:pPr>
        <w:pStyle w:val="changeadd"/>
      </w:pPr>
      <w:r>
        <w:t>Указ Президента Республики Беларусь от 3 апреля 2008 г. № 194 (Национальный реестр правовых актов Республики Беларусь, 2008 г., № 83, 1/9602) &lt;P30800194&gt;;</w:t>
      </w:r>
    </w:p>
    <w:p w14:paraId="61392497" w14:textId="77777777" w:rsidR="0089766F" w:rsidRDefault="0089766F">
      <w:pPr>
        <w:pStyle w:val="changeadd"/>
      </w:pPr>
      <w:r>
        <w:t>Указ Президента Республики Беларусь от 25 июня 2009 г. № 331 (Национальный реестр правовых актов Республики Беларусь, 2009 г., № 159, 1/10809) &lt;P30900331&gt;;</w:t>
      </w:r>
    </w:p>
    <w:p w14:paraId="683DAC10" w14:textId="77777777" w:rsidR="0089766F" w:rsidRDefault="0089766F">
      <w:pPr>
        <w:pStyle w:val="changeadd"/>
      </w:pPr>
      <w:r>
        <w:t>Указ Президента Республики Беларусь от 28 декабря 2009 г. № 664 (Национальный реестр правовых актов Республики Беларусь, 2010 г., № 3, 1/11258) &lt;P30900664&gt;;</w:t>
      </w:r>
    </w:p>
    <w:p w14:paraId="20FEE1A4" w14:textId="77777777" w:rsidR="0089766F" w:rsidRDefault="0089766F">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14:paraId="6D2325C5" w14:textId="77777777" w:rsidR="0089766F" w:rsidRDefault="0089766F">
      <w:pPr>
        <w:pStyle w:val="changeadd"/>
      </w:pPr>
      <w:r>
        <w:t>Указ Президента Республики Беларусь от 11 ноября 2010 г. № 583 (Национальный реестр правовых актов Республики Беларусь, 2010 г., № 275, 1/12092) &lt;P31000583&gt;;</w:t>
      </w:r>
    </w:p>
    <w:p w14:paraId="786CE48F" w14:textId="77777777" w:rsidR="0089766F" w:rsidRDefault="0089766F">
      <w:pPr>
        <w:pStyle w:val="changeadd"/>
      </w:pPr>
      <w:r>
        <w:t>Указ Президента Республики Беларусь от 27 июня 2011 г. № 275 (Национальный реестр правовых актов Республики Беларусь, 2011 г., № 75, 1/12650) &lt;P31100275&gt;;</w:t>
      </w:r>
    </w:p>
    <w:p w14:paraId="048934AB" w14:textId="77777777" w:rsidR="0089766F" w:rsidRDefault="0089766F">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14:paraId="1EB63B32" w14:textId="77777777" w:rsidR="0089766F" w:rsidRDefault="0089766F">
      <w:pPr>
        <w:pStyle w:val="changeadd"/>
      </w:pPr>
      <w:r>
        <w:t>Указ Президента Республики Беларусь от 16 апреля 2012 г. № 176 (Национальный реестр правовых актов Республики Беларусь, 2012 г., № 47, 1/13448) &lt;P31200176&gt;;</w:t>
      </w:r>
    </w:p>
    <w:p w14:paraId="5009B40C" w14:textId="77777777" w:rsidR="0089766F" w:rsidRDefault="0089766F">
      <w:pPr>
        <w:pStyle w:val="changeadd"/>
      </w:pPr>
      <w:r>
        <w:t>Указ Президента Республики Беларусь от 4 октября 2012 г. № 457 (Национальный правовой Интернет-портал Республики Беларусь, 06.10.2012, 1/13805) &lt;P31200457&gt;;</w:t>
      </w:r>
    </w:p>
    <w:p w14:paraId="1F4D03C2" w14:textId="77777777" w:rsidR="0089766F" w:rsidRDefault="0089766F">
      <w:pPr>
        <w:pStyle w:val="changeadd"/>
      </w:pPr>
      <w:r>
        <w:t>Указ Президента Республики Беларусь от 4 марта 2013 г. № 108 (Национальный правовой Интернет-портал Республики Беларусь, 06.03.2013, 1/14121) &lt;P31300108&gt;;</w:t>
      </w:r>
    </w:p>
    <w:p w14:paraId="6895E352" w14:textId="77777777" w:rsidR="0089766F" w:rsidRDefault="0089766F">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14:paraId="593EA352" w14:textId="77777777" w:rsidR="0089766F" w:rsidRDefault="0089766F">
      <w:pPr>
        <w:pStyle w:val="changeadd"/>
      </w:pPr>
      <w:r>
        <w:lastRenderedPageBreak/>
        <w:t>Указ Президента Республики Беларусь от 21 июля 2014 г. № 361 (Национальный правовой Интернет-портал Республики Беларусь, 24.07.2014, 1/15176) &lt;P31400361&gt;;</w:t>
      </w:r>
    </w:p>
    <w:p w14:paraId="530C5528" w14:textId="77777777" w:rsidR="0089766F" w:rsidRDefault="0089766F">
      <w:pPr>
        <w:pStyle w:val="changeadd"/>
      </w:pPr>
      <w:r>
        <w:t>Указ Президента Республики Беларусь от 18 января 2016 г. № 12 (Национальный правовой Интернет-портал Республики Беларусь, 21.01.2016, 1/16233) &lt;P31600012&gt;;</w:t>
      </w:r>
    </w:p>
    <w:p w14:paraId="1B2BCD9A" w14:textId="77777777" w:rsidR="0089766F" w:rsidRDefault="0089766F">
      <w:pPr>
        <w:pStyle w:val="changeadd"/>
      </w:pPr>
      <w:r>
        <w:t>Указ Президента Республики Беларусь от 18 июля 2016 г. № 272 (Национальный правовой Интернет-портал Республики Беларусь, 21.07.2016, 1/16546) &lt;P31600272&gt;</w:t>
      </w:r>
    </w:p>
    <w:p w14:paraId="7A7B6043" w14:textId="77777777" w:rsidR="0089766F" w:rsidRDefault="0089766F">
      <w:pPr>
        <w:pStyle w:val="newncpi"/>
      </w:pPr>
      <w:r>
        <w:t> </w:t>
      </w:r>
    </w:p>
    <w:p w14:paraId="6A28E9F1" w14:textId="77777777" w:rsidR="0089766F" w:rsidRDefault="0089766F">
      <w:pPr>
        <w:pStyle w:val="newncpi"/>
      </w:pPr>
      <w:r>
        <w:t>В целях усиления государственного регулирования рынка ценных бумаг и совершенствования законодательства по вопросам его функционирования:</w:t>
      </w:r>
    </w:p>
    <w:p w14:paraId="3EA3A947" w14:textId="77777777" w:rsidR="0089766F" w:rsidRDefault="0089766F">
      <w:pPr>
        <w:pStyle w:val="point"/>
      </w:pPr>
      <w:r>
        <w:t>1. Установить, что:</w:t>
      </w:r>
    </w:p>
    <w:p w14:paraId="27A1E3C2" w14:textId="77777777" w:rsidR="0089766F" w:rsidRDefault="0089766F">
      <w:pPr>
        <w:pStyle w:val="underpoint"/>
      </w:pPr>
      <w:r>
        <w:t>1.1. порядок эмиссии (выдачи), обращения и погашения ценных бумаг определяется:</w:t>
      </w:r>
    </w:p>
    <w:p w14:paraId="08AB5096" w14:textId="77777777" w:rsidR="0089766F" w:rsidRDefault="0089766F">
      <w:pPr>
        <w:pStyle w:val="newncpi"/>
      </w:pPr>
      <w:r>
        <w:t>Советом Министров Республики Беларусь – по всем видам ценных бумаг, включая особенности эмиссии (выдачи), обращения и погашения ценных бумаг местных исполнительных и распорядительных органов, за исключением ценных бумаг Национального банка, банковской сберегательной книжки на предъявителя, чеков, депозитных и сберегательных сертификатов;</w:t>
      </w:r>
    </w:p>
    <w:p w14:paraId="2F3F4C6E" w14:textId="77777777" w:rsidR="0089766F" w:rsidRDefault="0089766F">
      <w:pPr>
        <w:pStyle w:val="newncpi"/>
      </w:pPr>
      <w:r>
        <w:t>Национальным банком по согласованию с республиканским органом государственного управления, осуществляющим государственное регулирование рынка ценных бумаг, – по ценным бумагам Национального банка, банковской сберегательной книжке на предъявителя, чекам, депозитным и сберегательным сертификатам;</w:t>
      </w:r>
    </w:p>
    <w:p w14:paraId="2A63EBCF" w14:textId="77777777" w:rsidR="0089766F" w:rsidRDefault="0089766F">
      <w:pPr>
        <w:pStyle w:val="underpoint"/>
      </w:pPr>
      <w:r>
        <w:t>1.2. 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 (далее –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 приостанавливают совершение и (или) исполнение сделок с ценными бумагами в торговой системе организатора торговли ценными бумагами и (или) обращение ценных бумаг на неорганизованном рынке путем вынесения предписания о приостановлении торгов определенным выпуском ценных бумаг или всеми ценными бумагами эмитента либо о приостановлении обращения ценных бумаг определенного выпуска или всех ценных бумаг эмитента:</w:t>
      </w:r>
    </w:p>
    <w:p w14:paraId="565A217D" w14:textId="77777777" w:rsidR="0089766F" w:rsidRDefault="0089766F">
      <w:pPr>
        <w:pStyle w:val="newncpi"/>
      </w:pPr>
      <w:r>
        <w:t>в случае признания в установленном законодательством порядке эмиссии эмиссионных ценных бумаг недобросовестной, выпуска (дополнительного выпуска) эмиссионных ценных бумаг недействительным, а также приостановления или запрещения эмиссии эмиссионных ценных бумаг;</w:t>
      </w:r>
    </w:p>
    <w:p w14:paraId="5AC3A894" w14:textId="77777777" w:rsidR="0089766F" w:rsidRDefault="0089766F">
      <w:pPr>
        <w:pStyle w:val="newncpi"/>
      </w:pPr>
      <w:r>
        <w:t>в случае нарушения требований об обеспечении исполнения обязательств эмитента по облигациям, установленных в подпункте 1.7 настоящего пункта, порядка замены эмитентом обеспечения исполнения своих обязательств по облигациям;</w:t>
      </w:r>
    </w:p>
    <w:p w14:paraId="1F270C63" w14:textId="77777777" w:rsidR="0089766F" w:rsidRDefault="0089766F">
      <w:pPr>
        <w:pStyle w:val="newncpi"/>
      </w:pPr>
      <w:r>
        <w:t>в случае совершения действий (бездействия), указанных в части первой статьи 63 Закона Республики Беларусь от 5 января 2015 года «О рынке ценных бумаг» (Национальный правовой Интернет-портал Республики Беларусь, 10.01.2015, 2/2229), выявления иных нарушений законодательства о ценных бумагах при осуществлении контроля и надзора за эмиссией (выдачей), обращением и погашением эмиссионных ценных бумаг, деятельностью профессиональных участников рынка ценных бумаг, в том числе при проведении камеральных проверок;</w:t>
      </w:r>
    </w:p>
    <w:p w14:paraId="3812E48B" w14:textId="77777777" w:rsidR="0089766F" w:rsidRDefault="0089766F">
      <w:pPr>
        <w:pStyle w:val="newncpi"/>
      </w:pPr>
      <w:r>
        <w:lastRenderedPageBreak/>
        <w:t>в иных случаях, установленных законодательными актами Республики Беларусь.</w:t>
      </w:r>
    </w:p>
    <w:p w14:paraId="47D67346" w14:textId="77777777" w:rsidR="0089766F" w:rsidRDefault="0089766F">
      <w:pPr>
        <w:pStyle w:val="newncpi"/>
      </w:pPr>
      <w:r>
        <w:t>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 приостанавливают совершение и (или) исполнение сделок с ценными бумагами в торговой системе организатора торговли ценными бумагами и (или) обращение ценных бумаг на неорганизованном рынке путем вынесения предписания об отстранении от участия в торгах ценными бумагами или от участия в обращении ценных бумаг профессиональных участников рынка ценных бумаг:</w:t>
      </w:r>
    </w:p>
    <w:p w14:paraId="091128EA" w14:textId="77777777" w:rsidR="0089766F" w:rsidRDefault="0089766F">
      <w:pPr>
        <w:pStyle w:val="newncpi"/>
      </w:pPr>
      <w:r>
        <w:t>в случае совершения действий (бездействия), указанных в части первой статьи 63 Закона Республики Беларусь «О рынке ценных бумаг», выявления иных нарушений законодательства о ценных бумагах при осуществлении контроля и надзора за эмиссией (выдачей), обращением и погашением эмиссионных ценных бумаг, деятельностью профессиональных участников рынка ценных бумаг, в том числе при проведении камеральных проверок;</w:t>
      </w:r>
    </w:p>
    <w:p w14:paraId="725B3C5F" w14:textId="77777777" w:rsidR="0089766F" w:rsidRDefault="0089766F">
      <w:pPr>
        <w:pStyle w:val="newncpi"/>
      </w:pPr>
      <w:r>
        <w:t>в иных случаях, установленных законодательными актами Республики Беларусь.</w:t>
      </w:r>
    </w:p>
    <w:p w14:paraId="3127FE86" w14:textId="77777777" w:rsidR="0089766F" w:rsidRDefault="0089766F">
      <w:pPr>
        <w:pStyle w:val="rekviziti"/>
      </w:pPr>
      <w:r>
        <w:t>—————————————————————————</w:t>
      </w:r>
    </w:p>
    <w:p w14:paraId="665C37D0" w14:textId="77777777" w:rsidR="0089766F" w:rsidRDefault="0089766F">
      <w:pPr>
        <w:pStyle w:val="rekviziti"/>
      </w:pPr>
      <w:r>
        <w:t>Часть третья подпункта 1.2 пункта 1 вступает в силу 1 сентября 2016 г. в соответствии с абзацем вторым пункта 5 Указа Президента Республики Беларусь от 18 июля 2016 г. № 272</w:t>
      </w:r>
    </w:p>
    <w:p w14:paraId="7AD61E4B" w14:textId="77777777" w:rsidR="0089766F" w:rsidRDefault="0089766F">
      <w:pPr>
        <w:pStyle w:val="rekviziti"/>
      </w:pPr>
      <w:r>
        <w:t>__________________________________________________</w:t>
      </w:r>
    </w:p>
    <w:p w14:paraId="03552D7E" w14:textId="77777777" w:rsidR="0089766F" w:rsidRDefault="0089766F">
      <w:pPr>
        <w:pStyle w:val="newncpi"/>
      </w:pPr>
      <w:r>
        <w:t>Республиканский орган государственного управления, осуществляющий государственное регулирование рынка ценных бумаг, вправе получать информацию, содержащуюся в реестре движимого имущества, обремененного залогом, на безвозмездной основе в порядке, установленном законодательными актами;</w:t>
      </w:r>
    </w:p>
    <w:p w14:paraId="75BEF331" w14:textId="77777777" w:rsidR="0089766F" w:rsidRDefault="0089766F">
      <w:pPr>
        <w:pStyle w:val="underpoint"/>
      </w:pPr>
      <w:r>
        <w:t>1.3. республиканское унитарное предприятие «Республиканский центральный депозитарий ценных бумаг» является центральным депозитарием ценных бумаг в Республике Беларусь.</w:t>
      </w:r>
    </w:p>
    <w:p w14:paraId="39849664" w14:textId="77777777" w:rsidR="0089766F" w:rsidRDefault="0089766F">
      <w:pPr>
        <w:pStyle w:val="newncpi"/>
      </w:pPr>
      <w:r>
        <w:t>Учет прав на акции, находящиеся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 осуществляется центральным депозитарием ценных бумаг в Республике Беларусь;</w:t>
      </w:r>
    </w:p>
    <w:p w14:paraId="2E8A40FD" w14:textId="77777777" w:rsidR="0089766F" w:rsidRDefault="0089766F">
      <w:pPr>
        <w:pStyle w:val="underpoint"/>
      </w:pPr>
      <w:r>
        <w:t>1.4. право на осуществление депозитарной деятельности имеют юридические лица, у которых размер собственного капитала (чистых активов) составляет не менее 30 тыс. базовых величин.</w:t>
      </w:r>
    </w:p>
    <w:p w14:paraId="08EBE867" w14:textId="77777777" w:rsidR="0089766F" w:rsidRDefault="0089766F">
      <w:pPr>
        <w:pStyle w:val="newncpi"/>
      </w:pPr>
      <w:r>
        <w:t>Требование, предусмотренное в части первой настоящего подпункта, не распространяется на банки, небанковские кредитно-финансовые организации и центральный депозитарий ценных бумаг в Республике Беларусь;</w:t>
      </w:r>
    </w:p>
    <w:p w14:paraId="5D3F7DA0" w14:textId="77777777" w:rsidR="0089766F" w:rsidRDefault="0089766F">
      <w:pPr>
        <w:pStyle w:val="underpoint"/>
      </w:pPr>
      <w:r>
        <w:t>1.5. юридическими лицами, осуществляющими профессиональную и биржевую деятельность по ценным бумагам, за исключением банков, небанковских кредитно-финансовых организаций, определяется размер собственного капитала (чистых активов) на 1-е число каждого месяца с представлением в установленном порядке таких сведений в республиканский орган государственного управления, осуществляющий государственное регулирование рынка ценных бумаг;</w:t>
      </w:r>
    </w:p>
    <w:p w14:paraId="67C34488" w14:textId="77777777" w:rsidR="0089766F" w:rsidRDefault="0089766F">
      <w:pPr>
        <w:pStyle w:val="underpoint"/>
      </w:pPr>
      <w:r>
        <w:t>1.6. депозитарий, брокер, доверительный управляющий вправе оказывать:</w:t>
      </w:r>
    </w:p>
    <w:p w14:paraId="4928F457" w14:textId="77777777" w:rsidR="0089766F" w:rsidRDefault="0089766F">
      <w:pPr>
        <w:pStyle w:val="newncpi"/>
      </w:pPr>
      <w:r>
        <w:t>услуги по размещению информации на едином информационном ресурсе рынка ценных бумаг эмитентам и иным лицам, обязанным раскрывать информацию в соответствии с законодательством Республики Беларусь о ценных бумагах;</w:t>
      </w:r>
    </w:p>
    <w:p w14:paraId="43328CC4" w14:textId="77777777" w:rsidR="0089766F" w:rsidRDefault="0089766F">
      <w:pPr>
        <w:pStyle w:val="newncpi"/>
      </w:pPr>
      <w:r>
        <w:t>консультационные услуги, связанные с деятельностью на рынке ценных бумаг;</w:t>
      </w:r>
    </w:p>
    <w:p w14:paraId="054F08E8" w14:textId="77777777" w:rsidR="0089766F" w:rsidRDefault="0089766F">
      <w:pPr>
        <w:pStyle w:val="underpoint"/>
      </w:pPr>
      <w:r>
        <w:lastRenderedPageBreak/>
        <w:t>1.7. исполнение обязательств по облигациям обеспечивается залогом, и (или) поручительством, и (или) банковской гарантией, и (или) страхованием ответственности за неисполнение (ненадлежащее исполнение) обязательств эмитента облигаций, и (или) правом требования по кредитам, выданным банками на строительство, реконструкцию или приобретение жилья под залог недвижимости, за исключением случаев, указанных в подпунктах 1.8 и 1.10 настоящего пункта.</w:t>
      </w:r>
    </w:p>
    <w:p w14:paraId="44156D9E" w14:textId="77777777" w:rsidR="0089766F" w:rsidRDefault="0089766F">
      <w:pPr>
        <w:pStyle w:val="newncpi"/>
      </w:pPr>
      <w:r>
        <w:t>Предметом залога по облигациям могут быть государственные ценные бумаги (за исключением именных приватизационных чеков «Имущество»), ценные бумаги Национального банка, облигации местных исполнительных и распорядительных органов, закладные, депозитные сертификаты, облигации банков, транспортные средства (в том числе дорожная, строительная и прочая специальная техника), зарегистрированные на территории Республики Беларусь (далее – транспортные средства), недвижимое имущество, зарегистрированное в едином государственном регистре недвижимого имущества, прав на него и сделок с ним (далее – недвижимое имущество). При этом эмитент облигаций не вправе передавать в залог по облигациям ценные бумаги, эмитированные (выданные) этим эмитентом. Ценные бумаги, транспортные средства, недвижимое имущество, являющиеся предметом залога по облигациям, подлежат оценке в порядке, установленном законодательством. Последующий залог ценных бумаг, транспортных средств, недвижимого имущества для обеспечения исполнения обязательств по облигациям, если он не запрещен предшествующими договорами о залоге указанного имущества либо если по предшествующему договору о залоге недвижимого имущества (договору об ипотеке) не выдана закладная, допускается в случаях:</w:t>
      </w:r>
    </w:p>
    <w:p w14:paraId="051B2F3A" w14:textId="77777777" w:rsidR="0089766F" w:rsidRDefault="0089766F">
      <w:pPr>
        <w:pStyle w:val="newncpi"/>
      </w:pPr>
      <w:r>
        <w:t>конвертации облигаций одного выпуска в облигации другого выпуска после получения эмитентом облигаций согласия их владельцев на конвертацию;</w:t>
      </w:r>
    </w:p>
    <w:p w14:paraId="7EEF7BF7" w14:textId="77777777" w:rsidR="0089766F" w:rsidRDefault="0089766F">
      <w:pPr>
        <w:pStyle w:val="newncpi"/>
      </w:pPr>
      <w:r>
        <w:t>переоформления долгосрочных кредитов, ранее полученных эмитентом облигаций, в облигации при условии, что покупателем всех облигаций данного выпуска выступает банк-кредитор;</w:t>
      </w:r>
    </w:p>
    <w:p w14:paraId="44739FE7" w14:textId="77777777" w:rsidR="0089766F" w:rsidRDefault="0089766F">
      <w:pPr>
        <w:pStyle w:val="newncpi"/>
      </w:pPr>
      <w:r>
        <w:t>когда общий объем обязательств, обеспечиваемых залогом ценных бумаг и (или) недвижимого имущества, не превысит 80 процентов их стоимости.</w:t>
      </w:r>
    </w:p>
    <w:p w14:paraId="22CA2D6C" w14:textId="77777777" w:rsidR="0089766F" w:rsidRDefault="0089766F">
      <w:pPr>
        <w:pStyle w:val="newncpi"/>
      </w:pPr>
      <w:r>
        <w:t>Если предметом залога по облигациям являются ценные бумаги в бездокументарной форме, для фиксации обременения (ограничения) залогом прав на такие ценные бумаги в соответствующий депозитарий представляется копия свидетельства о государственной регистрации выпуска облигаций. Ценные бумаги в документарной форме могут являться предметом залога по облигациям только при условии учета и хранения таких ценных бумаг в депозитарии. При этом договор залога может не заключаться.</w:t>
      </w:r>
    </w:p>
    <w:p w14:paraId="413D4D2B" w14:textId="77777777" w:rsidR="0089766F" w:rsidRDefault="0089766F">
      <w:pPr>
        <w:pStyle w:val="newncpi"/>
      </w:pPr>
      <w:r>
        <w:t>При фиксации обременения (ограничения) залогом прав на ценные бумаги, являющиеся предметом залога по облигациям, в качестве сведений об их первоначальном залогодержателе указываются государственный регистрационный номер выпуска облигаций и информация о том, что залогодержателями являются владельцы таких облигаций.</w:t>
      </w:r>
    </w:p>
    <w:p w14:paraId="67C648A7" w14:textId="77777777" w:rsidR="0089766F" w:rsidRDefault="0089766F">
      <w:pPr>
        <w:pStyle w:val="newncpi"/>
      </w:pPr>
      <w:r>
        <w:t>Если исполнение обязательств по облигациям обеспечивается залогом транспортных средств, договор залога может не заключаться. В этом случае залог возникает с даты государственной регистрации выпуска облигаций.</w:t>
      </w:r>
    </w:p>
    <w:p w14:paraId="3CDE2D4C" w14:textId="77777777" w:rsidR="0089766F" w:rsidRDefault="0089766F">
      <w:pPr>
        <w:pStyle w:val="newncpi"/>
      </w:pPr>
      <w:r>
        <w:t>Если предметом залога по облигациям является недвижимое имущество, дополнительно к документам, определенным в соответствии с законодательством, в организацию по государственной регистрации недвижимого имущества, прав на него и сделок с ним в качестве документа, являющегося основанием для государственной регистрации ипотеки и договора об ипотеке, представляется копия свидетельства о государственной регистрации выпуска облигаций. В этом случае в качестве сведений о залогодержателе указываются государственный регистрационный номер выпуска облигаций и информация о том, что залогодержателями являются владельцы таких облигаций. При этом договор залога может не заключаться.</w:t>
      </w:r>
    </w:p>
    <w:p w14:paraId="327C9567" w14:textId="77777777" w:rsidR="0089766F" w:rsidRDefault="0089766F">
      <w:pPr>
        <w:pStyle w:val="newncpi"/>
      </w:pPr>
      <w:r>
        <w:lastRenderedPageBreak/>
        <w:t>Если исполнение обязательств по облигациям обеспечивается банковской гарантией, до государственной регистрации выпуска облигаций эмитент облигаций заключает с юридическим лицом Республики Беларусь (банком или небанковской кредитно-финансовой организацией) договор о выдаче банковской гарантии, содержащий безусловное обязательство по выдаче владельцу облигаций (бенефициару) банковской гарантии в случае невозможности исполнения эмитентом обязательств по облигациям, а также в иных случаях, предусмотренных договором.</w:t>
      </w:r>
    </w:p>
    <w:p w14:paraId="707C4D42" w14:textId="77777777" w:rsidR="0089766F" w:rsidRDefault="0089766F">
      <w:pPr>
        <w:pStyle w:val="newncpi"/>
      </w:pPr>
      <w:r>
        <w:t>Если исполнение обязательств по облигациям обеспечивается поручительством, до государственной регистрации выпуска облигаций эмитент облигаций заключает с юридическим лицом Республики Беларусь (поручителем) договор о предоставлении поручительства, соответствующий решению о выпуске облигаций и проспекту эмиссии облигаций, исполнение обязательств по которым обеспечивается поручительством, и содержащий безусловное обязательство поручителя по исполнению обязательств по облигациям солидарно с эмитентом облигаций в случае неисполнения либо ненадлежащего исполнения данных обязательств эмитентом. Типовая форма договора о предоставлении поручительства утверждается республиканским органом государственного управления, осуществляющим государственное регулирование рынка ценных бумаг.</w:t>
      </w:r>
    </w:p>
    <w:p w14:paraId="6BACC9B2" w14:textId="77777777" w:rsidR="0089766F" w:rsidRDefault="0089766F">
      <w:pPr>
        <w:pStyle w:val="newncpi"/>
      </w:pPr>
      <w:r>
        <w:t>Письменная форма договора поручительства считается соблюденной, а договор поручительства заключенным с момента передачи облигаций, обеспечиваемых поручительством, их владельцам.</w:t>
      </w:r>
    </w:p>
    <w:p w14:paraId="5EC2A115" w14:textId="77777777" w:rsidR="0089766F" w:rsidRDefault="0089766F">
      <w:pPr>
        <w:pStyle w:val="newncpi"/>
      </w:pPr>
      <w:r>
        <w:t>Если исполнение обязательств по облигациям обеспечивается страхованием ответственности за неисполнение (ненадлежащее исполнение) обязательств эмитента облигаций, эмитент облигаций обязан заключить договор страхования до государственной регистрации выпуска облигаций;</w:t>
      </w:r>
    </w:p>
    <w:p w14:paraId="6BAA805D" w14:textId="77777777" w:rsidR="0089766F" w:rsidRDefault="0089766F">
      <w:pPr>
        <w:pStyle w:val="underpoint"/>
      </w:pPr>
      <w:r>
        <w:t>1.8. эмиссия облигаций, за исключением биржевых облигаций, без учета положений, предусмотренных в подпункте 1.7 настоящего пункта, может осуществляться в случаях, когда эмитентами таких облигаций являются:</w:t>
      </w:r>
    </w:p>
    <w:p w14:paraId="070B528B" w14:textId="77777777" w:rsidR="0089766F" w:rsidRDefault="0089766F">
      <w:pPr>
        <w:pStyle w:val="newncpi"/>
      </w:pPr>
      <w:r>
        <w:t>банки, по согласованию с Национальным банком и при условии, что объем выпусков* таких облигаций не превышает размера нормативного капитала банка. При этом размещение этих облигаций среди физических лиц производится банком при наличии специального разрешения (лицензии) на осуществление банковской деятельности, предусматривающего право на привлечение денежных средств физических лиц на счета и (или) во вклады (депозиты);</w:t>
      </w:r>
    </w:p>
    <w:p w14:paraId="586A618E" w14:textId="77777777" w:rsidR="0089766F" w:rsidRDefault="0089766F">
      <w:pPr>
        <w:pStyle w:val="newncpi"/>
      </w:pPr>
      <w:r>
        <w:t>местные исполнительные и распорядительные органы;</w:t>
      </w:r>
    </w:p>
    <w:p w14:paraId="042D743C" w14:textId="77777777" w:rsidR="0089766F" w:rsidRDefault="0089766F">
      <w:pPr>
        <w:pStyle w:val="rekviziti"/>
      </w:pPr>
      <w:r>
        <w:t>—————————————————————————</w:t>
      </w:r>
    </w:p>
    <w:p w14:paraId="5ED0C7A2" w14:textId="77777777" w:rsidR="0089766F" w:rsidRDefault="0089766F">
      <w:pPr>
        <w:pStyle w:val="rekviziti"/>
      </w:pPr>
      <w:r>
        <w:t>Абзац четвертый части первой подпункта 1.8 пункта 1 вступает в силу 22 октября 2016 г. в соответствии с абзацем третьим пункта 5 Указа Президента Республики Беларусь от 18 июля 2016 г. № 272</w:t>
      </w:r>
    </w:p>
    <w:p w14:paraId="0A8787A4" w14:textId="77777777" w:rsidR="0089766F" w:rsidRDefault="0089766F">
      <w:pPr>
        <w:pStyle w:val="rekviziti"/>
      </w:pPr>
      <w:r>
        <w:t>__________________________________________________</w:t>
      </w:r>
    </w:p>
    <w:p w14:paraId="0C6B66BD" w14:textId="77777777" w:rsidR="0089766F" w:rsidRDefault="0089766F">
      <w:pPr>
        <w:pStyle w:val="newncpi"/>
      </w:pPr>
      <w:r>
        <w:t xml:space="preserve">юридические лица, не имеющие отрицательного финансового результата от реализации продукции, товаров (работ, услуг) или чистого убытка на дату принятия решения о выпуске облигаций, а также в течение двух лет, предшествовавших принятию такого решения (в случае осуществления юридическим лицом деятельности менее трех лет – за весь период его деятельности), при условии, что объем выпусков таких облигаций не превышает размера собственного капитала (чистых активов) эмитента облигаций, рассчитанного в соответствии с законодательством. В случае, если общий объем выпусков таких облигаций превысит размер собственного капитала (чистых активов) эмитента облигаций, эмитент не позднее двух месяцев с даты, на которую им определялся размер собственного капитала (чистых активов), обязан представить на сумму такого превышения обеспечение в соответствии с требованиями, предусмотренными в подпункте 1.7 настоящего пункта, за исключением обеспечения исполнения обязательств </w:t>
      </w:r>
      <w:r>
        <w:lastRenderedPageBreak/>
        <w:t>страхованием ответственности за неисполнение (ненадлежащее исполнение) обязательств эмитента облигаций, либо принять меры по погашению части выпуска облигаций в размере разницы, возникшей между общим объемом выпусков необеспеченных облигаций и размером собственного капитала (чистых активов) эмитента.</w:t>
      </w:r>
    </w:p>
    <w:p w14:paraId="0F511111" w14:textId="77777777" w:rsidR="0089766F" w:rsidRDefault="0089766F">
      <w:pPr>
        <w:pStyle w:val="snoskiline"/>
      </w:pPr>
      <w:r>
        <w:t>______________________________</w:t>
      </w:r>
    </w:p>
    <w:p w14:paraId="340879B1" w14:textId="77777777" w:rsidR="0089766F" w:rsidRDefault="0089766F">
      <w:pPr>
        <w:pStyle w:val="snoski"/>
        <w:spacing w:after="240"/>
      </w:pPr>
      <w:r>
        <w:t>* Для целей настоящего Указа под объемом выпуска облигаций понимается сумма номинальных стоимостей всех облигаций данного выпуска.</w:t>
      </w:r>
    </w:p>
    <w:p w14:paraId="44313DD6" w14:textId="77777777" w:rsidR="0089766F" w:rsidRDefault="0089766F">
      <w:pPr>
        <w:pStyle w:val="rekviziti"/>
      </w:pPr>
      <w:r>
        <w:t>—————————————————————————</w:t>
      </w:r>
    </w:p>
    <w:p w14:paraId="301E1FF9" w14:textId="77777777" w:rsidR="0089766F" w:rsidRDefault="0089766F">
      <w:pPr>
        <w:pStyle w:val="rekviziti"/>
      </w:pPr>
      <w:r>
        <w:t>Часть вторая подпункта 1.8 пункта 1 вступает в силу 22 октября 2016 г. в соответствии с абзацем третьим пункта 5 Указа Президента Республики Беларусь от 18 июля 2016 г. № 272</w:t>
      </w:r>
    </w:p>
    <w:p w14:paraId="0EBD5626" w14:textId="77777777" w:rsidR="0089766F" w:rsidRDefault="0089766F">
      <w:pPr>
        <w:pStyle w:val="rekviziti"/>
      </w:pPr>
      <w:r>
        <w:t>__________________________________________________</w:t>
      </w:r>
    </w:p>
    <w:p w14:paraId="109E963F" w14:textId="77777777" w:rsidR="0089766F" w:rsidRDefault="0089766F">
      <w:pPr>
        <w:pStyle w:val="newncpi"/>
      </w:pPr>
      <w:r>
        <w:t>Юридическими лицами, указанными в абзаце четвертом части первой настоящего подпункта, определяется размер собственного капитала (чистых активов) на 1-е число каждого месяца с представлением таких сведений в республиканский орган государственного управления, осуществляющий государственное регулирование рынка ценных бумаг, в установленном им порядке;</w:t>
      </w:r>
    </w:p>
    <w:p w14:paraId="2EF6A955" w14:textId="77777777" w:rsidR="0089766F" w:rsidRDefault="0089766F">
      <w:pPr>
        <w:pStyle w:val="underpoint"/>
      </w:pPr>
      <w:r>
        <w:t>1.9. для государственной регистрации облигаций юридическими лицами, за исключением местных исполнительных и распорядительных органов, страховых организаций, банков, небанковских кредитно-финансовых организаций, открытого акционерного общества «Банк развития Республики Беларусь», дополнительно к документам, предусмотренным законодательством, представляется расчет коэффициентов текущей ликвидности и обеспеченности собственными оборотными средствами, произведенный в порядке, установленном законодательством об экономической несостоятельности (банкротстве), на последний день последнего месяца квартала, предшествующего кварталу, в котором принято решение о выпуске облигаций.</w:t>
      </w:r>
    </w:p>
    <w:p w14:paraId="47CAEF6E" w14:textId="77777777" w:rsidR="0089766F" w:rsidRDefault="0089766F">
      <w:pPr>
        <w:pStyle w:val="newncpi"/>
      </w:pPr>
      <w:r>
        <w:t>Если значения коэффициентов текущей ликвидности и обеспеченности собственными оборотными средствами, рассчитанных на последний день последнего месяца квартала, предшествующего кварталу, в котором принято решение о выпуске облигаций, ниже нормативных значений коэффициентов платежеспособности, определенных в соответствии с законодательством об экономической несостоятельности (банкротстве), юридическим лицам, указанным в части первой настоящего подпункта, отказывается в государственной регистрации облигаций;</w:t>
      </w:r>
    </w:p>
    <w:p w14:paraId="4F5028B9" w14:textId="77777777" w:rsidR="0089766F" w:rsidRDefault="0089766F">
      <w:pPr>
        <w:pStyle w:val="underpoint"/>
      </w:pPr>
      <w:r>
        <w:t>1.10. юридические лица вправе осуществлять эмиссию биржевых облигаций при соблюдении следующих условий:</w:t>
      </w:r>
    </w:p>
    <w:p w14:paraId="51373246" w14:textId="77777777" w:rsidR="0089766F" w:rsidRDefault="0089766F">
      <w:pPr>
        <w:pStyle w:val="newncpi"/>
      </w:pPr>
      <w:r>
        <w:t>стоимость чистых активов юридического лица составляет не менее 100 тыс. базовых величин (за исключением банка и небанковской кредитно-финансовой организации, нормативный капитал которых составляет соответственно не менее 1 млн. базовых величин и не менее 500 тыс. базовых величин);</w:t>
      </w:r>
    </w:p>
    <w:p w14:paraId="4D9084F1" w14:textId="77777777" w:rsidR="0089766F" w:rsidRDefault="0089766F">
      <w:pPr>
        <w:pStyle w:val="newncpi"/>
      </w:pPr>
      <w:r>
        <w:t>юридическое лицо не имеет отрицательного финансового результата от реализации продукции, товаров (работ, услуг) или чистого убытка на дату принятия решения о выпуске биржевых облигаций, а также в течение двух лет, предшествовавших принятию такого решения (в случае осуществления юридическим лицом деятельности менее трех лет – за весь период его деятельности);</w:t>
      </w:r>
    </w:p>
    <w:p w14:paraId="3C48DF67" w14:textId="77777777" w:rsidR="0089766F" w:rsidRDefault="0089766F">
      <w:pPr>
        <w:pStyle w:val="newncpi"/>
      </w:pPr>
      <w:r>
        <w:t>ценные бумаги юридического лица допущены к обращению в торговой системе открытого акционерного общества «Белорусская валютно-фондовая биржа».</w:t>
      </w:r>
    </w:p>
    <w:p w14:paraId="52AF41B1" w14:textId="77777777" w:rsidR="0089766F" w:rsidRDefault="0089766F">
      <w:pPr>
        <w:pStyle w:val="newncpi"/>
      </w:pPr>
      <w:r>
        <w:t>Эмиссия биржевых облигаций осуществляется без учета положений, предусмотренных в подпункте 1.7 настоящего пункта.</w:t>
      </w:r>
    </w:p>
    <w:p w14:paraId="287803E3" w14:textId="77777777" w:rsidR="0089766F" w:rsidRDefault="0089766F">
      <w:pPr>
        <w:pStyle w:val="newncpi"/>
      </w:pPr>
      <w:r>
        <w:t xml:space="preserve">Учет прав на биржевые облигации и их хранение осуществляются в депозитарной системе Республики Беларусь. Прием выпусков биржевых облигаций на централизованный учет (учет и хранение) в депозитарную систему и присвоение каждому выпуску биржевых облигаций идентификационного кода производятся центральным </w:t>
      </w:r>
      <w:r>
        <w:lastRenderedPageBreak/>
        <w:t>депозитарием ценных бумаг в Республике Беларусь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14:paraId="1F39D41D" w14:textId="77777777" w:rsidR="0089766F" w:rsidRDefault="0089766F">
      <w:pPr>
        <w:pStyle w:val="underpoint"/>
      </w:pPr>
      <w:r>
        <w:t>1.11. в случае эмиссии юридическими лицами Республики Беларусь облигаций за пределами Республики Беларусь в соответствии с законодательством иностранных государств эмитентом в десятидневный срок с даты начала размещения облигаций на территории иностранного государства представляется в республиканский орган государственного управления, осуществляющий государственное регулирование рынка ценных бумаг, копия легализованного в установленном порядке проспекта эмиссии ценных бумаг либо документа, заменяющего его в соответствии с законодательством иностранных государств.</w:t>
      </w:r>
    </w:p>
    <w:p w14:paraId="088B1C4E" w14:textId="77777777" w:rsidR="0089766F" w:rsidRDefault="0089766F">
      <w:pPr>
        <w:pStyle w:val="newncpi"/>
      </w:pPr>
      <w:r>
        <w:t>Документы, указанные в части первой настоящего подпункта, составленные за пределами Республики Беларусь согласно законодательству иностранных государств, должны быть переведены на русский (белорусский) язык (верность перевода или подлинность подписи переводчика должны быть засвидетельствованы нотариально);</w:t>
      </w:r>
    </w:p>
    <w:p w14:paraId="5BC97F8D" w14:textId="77777777" w:rsidR="0089766F" w:rsidRDefault="0089766F">
      <w:pPr>
        <w:pStyle w:val="underpoint"/>
      </w:pPr>
      <w:r>
        <w:t>1.12. банки вправе осуществлять с облигациями эмитентов – юридических лиц, которых они обслуживают, профессиональную и биржевую деятельность по ценным бумагам;</w:t>
      </w:r>
    </w:p>
    <w:p w14:paraId="5C2F2C4C" w14:textId="77777777" w:rsidR="0089766F" w:rsidRDefault="0089766F">
      <w:pPr>
        <w:pStyle w:val="underpoint"/>
      </w:pPr>
      <w:r>
        <w:t>1.13. юридические и физические лица вправе получать конфиденциальную информацию о депонентах в случаях, предусмотренных настоящим Указом и иными законодательными актами.</w:t>
      </w:r>
    </w:p>
    <w:p w14:paraId="18C344EA" w14:textId="77777777" w:rsidR="0089766F" w:rsidRDefault="0089766F">
      <w:pPr>
        <w:pStyle w:val="newncpi"/>
      </w:pPr>
      <w:r>
        <w:t>Республиканский орган государственного управления, осуществляющий государственное регулирование рынка ценных бумаг, предоставляет сведения, составляющие конфиденциальную информацию о депонентах, полученные им в соответствии с законодательством, государственным органам и иным организациям в случаях, предусмотренных законодательными актами или международными договорами Республики Беларусь.</w:t>
      </w:r>
    </w:p>
    <w:p w14:paraId="16378EAA" w14:textId="77777777" w:rsidR="0089766F" w:rsidRDefault="0089766F">
      <w:pPr>
        <w:pStyle w:val="newncpi"/>
      </w:pPr>
      <w:r>
        <w:t>Республиканский орган государственного управления по управлению государственным имуществом, облисполкомы и Минский горисполком вправе получать конфиденциальную информацию о депонентах, сведения, внесенные в реестр владельцев ценных бумаг, в части акций акционерных обществ с долей государства в уставном фонде, а также акционерных обществ, указанных в части первой подпункта 1.4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(Национальный реестр правовых актов Республики Беларусь, 2006 г., № 189, 1/8083).</w:t>
      </w:r>
    </w:p>
    <w:p w14:paraId="6C68D870" w14:textId="77777777" w:rsidR="0089766F" w:rsidRDefault="0089766F">
      <w:pPr>
        <w:pStyle w:val="newncpi"/>
      </w:pPr>
      <w:r>
        <w:t>Депозитариями в порядке, определяемом республиканским органом государственного управления, осуществляющим государственное регулирование рынка ценных бумаг, представляется центральному депозитарию ценных бумаг в Республике Беларусь конфиденциальная информация о депонентах в части:</w:t>
      </w:r>
    </w:p>
    <w:p w14:paraId="0D4421DF" w14:textId="77777777" w:rsidR="0089766F" w:rsidRDefault="0089766F">
      <w:pPr>
        <w:pStyle w:val="newncpi"/>
      </w:pPr>
      <w:r>
        <w:t>акций акционерных обществ, указанных в части третьей настоящего подпункта, для последующего представления этой информации республиканскому органу государственного управления по управлению государственным имуществом, облисполкомам и Минскому горисполкому;</w:t>
      </w:r>
    </w:p>
    <w:p w14:paraId="09D4321F" w14:textId="77777777" w:rsidR="0089766F" w:rsidRDefault="0089766F">
      <w:pPr>
        <w:pStyle w:val="newncpi"/>
      </w:pPr>
      <w:r>
        <w:t>ценных бумаг эмитента для последующего представления данной информации депозитарию эмитента при формировании реестра владельцев ценных бумаг этого эмитента.</w:t>
      </w:r>
    </w:p>
    <w:p w14:paraId="2C937507" w14:textId="77777777" w:rsidR="0089766F" w:rsidRDefault="0089766F">
      <w:pPr>
        <w:pStyle w:val="newncpi"/>
      </w:pPr>
      <w:r>
        <w:t>Использование информации, указанной в настоящем подпункте, осуществляется в порядке, установленном законодательными актами;</w:t>
      </w:r>
    </w:p>
    <w:p w14:paraId="2FFD5600" w14:textId="77777777" w:rsidR="0089766F" w:rsidRDefault="0089766F">
      <w:pPr>
        <w:pStyle w:val="underpoint"/>
      </w:pPr>
      <w:r>
        <w:t xml:space="preserve">1.14. решение вопросов приобретения (отчуждения) акционерным обществом акций собственной эмиссии относится к исключительной компетенции общего собрания </w:t>
      </w:r>
      <w:r>
        <w:lastRenderedPageBreak/>
        <w:t>акционеров. При этом решение о приобретении акционерным обществом акций собственной эмиссии может быть принято в целях:</w:t>
      </w:r>
    </w:p>
    <w:p w14:paraId="24D90A47" w14:textId="77777777" w:rsidR="0089766F" w:rsidRDefault="0089766F">
      <w:pPr>
        <w:pStyle w:val="newncpi"/>
      </w:pPr>
      <w:r>
        <w:t>последующей продажи либо безвозмездной передачи акций собственной эмиссии государству;</w:t>
      </w:r>
    </w:p>
    <w:p w14:paraId="356C1C30" w14:textId="77777777" w:rsidR="0089766F" w:rsidRDefault="0089766F">
      <w:pPr>
        <w:pStyle w:val="newncpi"/>
      </w:pPr>
      <w:r>
        <w:t>последующего пропорционального распределения среди акционеров без изменения соотношения их долей в уставном фонде акционерного общества. В случае невозможности пропорционального распределения среди акционеров приобретенных акционерным обществом акций собственной эмиссии без изменения соотношения их долей в уставном фонде акционерного общества такие акции подлежат аннулированию;</w:t>
      </w:r>
    </w:p>
    <w:p w14:paraId="0F82217A" w14:textId="77777777" w:rsidR="0089766F" w:rsidRDefault="0089766F">
      <w:pPr>
        <w:pStyle w:val="newncpi"/>
      </w:pPr>
      <w:r>
        <w:t>последующей продажи инвестору на условиях, предусмотренных бизнес-планом развития акционерного общества;</w:t>
      </w:r>
    </w:p>
    <w:p w14:paraId="0E4AF61A" w14:textId="77777777" w:rsidR="0089766F" w:rsidRDefault="0089766F">
      <w:pPr>
        <w:pStyle w:val="rekviziti"/>
      </w:pPr>
      <w:r>
        <w:t>—————————————————————————</w:t>
      </w:r>
    </w:p>
    <w:p w14:paraId="6CD0006F" w14:textId="77777777" w:rsidR="0089766F" w:rsidRDefault="0089766F">
      <w:pPr>
        <w:pStyle w:val="rekviziti"/>
      </w:pPr>
      <w:r>
        <w:t>Абзац пятый подпункта 1.14 пункта 1 вступает в силу 11 сентября 2016 г. в соответствии с абзацем четвертым пункта 5 Указа Президента Республики Беларусь от 18 июля 2016 г. № 272</w:t>
      </w:r>
    </w:p>
    <w:p w14:paraId="02AD9CFC" w14:textId="77777777" w:rsidR="0089766F" w:rsidRDefault="0089766F">
      <w:pPr>
        <w:pStyle w:val="rekviziti"/>
      </w:pPr>
      <w:r>
        <w:t>__________________________________________________</w:t>
      </w:r>
    </w:p>
    <w:p w14:paraId="596C305C" w14:textId="77777777" w:rsidR="0089766F" w:rsidRDefault="0089766F">
      <w:pPr>
        <w:pStyle w:val="newncpi"/>
      </w:pPr>
      <w:r>
        <w:t>последующей передачи иностранному или международному юридическому лицу (организации, не являющейся юридическим лицом), эмитирующему иностранные депозитарные расписки, для продажи акций с использованием иностранных депозитарных расписок;</w:t>
      </w:r>
    </w:p>
    <w:p w14:paraId="268817D6" w14:textId="77777777" w:rsidR="0089766F" w:rsidRDefault="0089766F">
      <w:pPr>
        <w:pStyle w:val="newncpi"/>
      </w:pPr>
      <w:r>
        <w:t>аннулирования;</w:t>
      </w:r>
    </w:p>
    <w:p w14:paraId="4E073220" w14:textId="77777777" w:rsidR="0089766F" w:rsidRDefault="0089766F">
      <w:pPr>
        <w:pStyle w:val="underpoint"/>
      </w:pPr>
      <w:r>
        <w:t>1.15. залог акций юридических лиц Республики Беларусь осуществляется без передачи залогодержателю прав, удостоверяемых этими ценными бумагами.</w:t>
      </w:r>
    </w:p>
    <w:p w14:paraId="051AD71C" w14:textId="77777777" w:rsidR="0089766F" w:rsidRDefault="0089766F">
      <w:pPr>
        <w:pStyle w:val="newncpi"/>
      </w:pPr>
      <w:r>
        <w:t>Запрещается заключение договоров:</w:t>
      </w:r>
    </w:p>
    <w:p w14:paraId="71BB0CB5" w14:textId="77777777" w:rsidR="0089766F" w:rsidRDefault="0089766F">
      <w:pPr>
        <w:pStyle w:val="newncpi"/>
      </w:pPr>
      <w:r>
        <w:t>мены, предусматривающих передачу акций открытого акционерного общества Республики Беларусь, за исключением случаев обмена именных приватизационных чеков «Имущество» на акции открытых акционерных обществ, созданных в процессе преобразования государственных унитарных предприятий в открытые акционерные общества, а также иных случаев, установленных Президентом Республики Беларусь;</w:t>
      </w:r>
    </w:p>
    <w:p w14:paraId="2FE37D28" w14:textId="77777777" w:rsidR="0089766F" w:rsidRDefault="0089766F">
      <w:pPr>
        <w:pStyle w:val="newncpi"/>
      </w:pPr>
      <w:r>
        <w:t>займа, предусматривающих передачу акций акционерного общества Республики Беларусь, за исключением случаев совершения юридическим лицом, осуществляющим брокерскую деятельность, маржинальных сделок, юридическим лицом, осуществляющим клиринговую деятельность, сделок в целях обеспечения расчетов по сделкам с ценными бумагами, а также иных случаев, установленных законодательными актами.</w:t>
      </w:r>
    </w:p>
    <w:p w14:paraId="454535AE" w14:textId="77777777" w:rsidR="0089766F" w:rsidRDefault="0089766F">
      <w:pPr>
        <w:pStyle w:val="newncpi"/>
      </w:pPr>
      <w:r>
        <w:t>Внесение акций закрытого акционерного общества Республики Беларусь в качестве вклада в уставный фонд юридического лица допускается после получения отказа других акционеров и самого акционерного общества от приобретения данных акций либо неполучения согласия на их приобретение в порядке реализации акционерами преимущественного права на приобретение акций (права акционерного общества на приобретение акций), установленного в частях первой–пятой и седьмой статьи 73 Закона Республики Беларусь от 9 декабря 1992 года «О хозяйственных обществах» (Ведамасцi Вярхоўнага Савета Рэспублiкi Беларусь, 1992 г., № 35, ст. 552; Национальный реестр правовых актов Республики Беларусь, 2006 г., № 18, 2/1197).</w:t>
      </w:r>
    </w:p>
    <w:p w14:paraId="0B293F5D" w14:textId="77777777" w:rsidR="0089766F" w:rsidRDefault="0089766F">
      <w:pPr>
        <w:pStyle w:val="newncpi"/>
      </w:pPr>
      <w:r>
        <w:t>Дарение акций юридических лиц Республики Беларусь может осуществляться только Республике Беларусь (ее административно-территориальным единицам) либо лицам, являющимся по отношению к дарителю родителями, детьми, усыновителями, усыновленными, супругом (супругой), родителями супруга (супруги), родными братьями и сестрами, внуками, бабкой, дедом, если иное не установлено Президентом Республики Беларусь.</w:t>
      </w:r>
    </w:p>
    <w:p w14:paraId="48707C85" w14:textId="77777777" w:rsidR="0089766F" w:rsidRDefault="0089766F">
      <w:pPr>
        <w:pStyle w:val="point"/>
      </w:pPr>
      <w:r>
        <w:t>2. Утратил силу.</w:t>
      </w:r>
    </w:p>
    <w:p w14:paraId="1E65DAD4" w14:textId="77777777" w:rsidR="0089766F" w:rsidRDefault="0089766F">
      <w:pPr>
        <w:pStyle w:val="point"/>
      </w:pPr>
      <w:r>
        <w:t>3. Признать утратившими силу:</w:t>
      </w:r>
    </w:p>
    <w:p w14:paraId="4488A8B1" w14:textId="77777777" w:rsidR="0089766F" w:rsidRDefault="0089766F">
      <w:pPr>
        <w:pStyle w:val="newncpi"/>
      </w:pPr>
      <w:r>
        <w:lastRenderedPageBreak/>
        <w:t>Указ Президента Республики Беларусь от 20 июля 1998 г. № 366 «О совершенствовании системы государственного регулирования рынка ценных бумаг» (Собрание декретов, указов Президента и постановлений Правительства Республики Беларусь, 1998 г., № 20, ст. 530);</w:t>
      </w:r>
    </w:p>
    <w:p w14:paraId="49BC788D" w14:textId="77777777" w:rsidR="0089766F" w:rsidRDefault="0089766F">
      <w:pPr>
        <w:pStyle w:val="newncpi"/>
      </w:pPr>
      <w:r>
        <w:t>Указ Президента Республики Беларусь от 28 апреля 2000 г. № 228 «О внесении изменения в Указ Президента Республики Беларусь от 20 июля 1998 г. № 366» (Национальный реестр правовых актов Республики Беларусь, 2000 г., № 44, 1/1232);</w:t>
      </w:r>
    </w:p>
    <w:p w14:paraId="5E69826D" w14:textId="77777777" w:rsidR="0089766F" w:rsidRDefault="0089766F">
      <w:pPr>
        <w:pStyle w:val="newncpi"/>
      </w:pPr>
      <w:r>
        <w:t>абзац девятый пункта 12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w:t>
      </w:r>
    </w:p>
    <w:p w14:paraId="10BD7B33" w14:textId="77777777" w:rsidR="0089766F" w:rsidRDefault="0089766F">
      <w:pPr>
        <w:pStyle w:val="newncpi"/>
      </w:pPr>
      <w:r>
        <w:t>пункт 7 приложения к Указу Президента Республики Беларусь от 26 июля 2004 г. № 355 «О внесении изменений и дополнения в указы Президента Республики Беларусь и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2004 г., № 120, 1/5713).</w:t>
      </w:r>
    </w:p>
    <w:p w14:paraId="502C00B5" w14:textId="77777777" w:rsidR="0089766F" w:rsidRDefault="0089766F">
      <w:pPr>
        <w:pStyle w:val="point"/>
      </w:pPr>
      <w:r>
        <w:t>4. Совету Министров Республики Беларусь и Национальному банку в трехмесячный срок принять меры по реализации настоящего Указа.</w:t>
      </w:r>
    </w:p>
    <w:p w14:paraId="43240DE6" w14:textId="77777777" w:rsidR="0089766F" w:rsidRDefault="0089766F">
      <w:pPr>
        <w:pStyle w:val="point"/>
      </w:pPr>
      <w:r>
        <w:t>5. Совету Министров Республики Беларусь в шестимесячный срок в установленном порядке внести в Палату представителей Национального собрания Республики Беларусь проекты законов Республики Беларусь о внесении изменений и дополнений:</w:t>
      </w:r>
    </w:p>
    <w:p w14:paraId="59360AD8" w14:textId="77777777" w:rsidR="0089766F" w:rsidRDefault="0089766F">
      <w:pPr>
        <w:pStyle w:val="newncpi"/>
      </w:pPr>
      <w:r>
        <w:t>в Кодекс Республики Беларусь об административных правонарушениях от 21 апреля 2003 года, обеспечивающих распространение установленной административной ответственности на нарушения требований, предусмотренных в подпунктах 1.4 и 1.6 пункта 1 настоящего Указа;</w:t>
      </w:r>
    </w:p>
    <w:p w14:paraId="094AD597" w14:textId="77777777" w:rsidR="0089766F" w:rsidRDefault="0089766F">
      <w:pPr>
        <w:pStyle w:val="newncpi"/>
      </w:pPr>
      <w:r>
        <w:t>в Уголовный кодекс Республики Беларусь, обеспечивающих распространение установленной уголовной ответственности на незаконное внесение депозитарием эмитента изменений в реестр владельцев ценных бумаг либо его уничтожение, а также за незаконное использование и распространение информации, указанной в части первой подпункта 1.6 пункта 1 данного Указа.</w:t>
      </w:r>
    </w:p>
    <w:p w14:paraId="16F0C285" w14:textId="77777777" w:rsidR="0089766F" w:rsidRDefault="0089766F">
      <w:pPr>
        <w:pStyle w:val="point"/>
      </w:pPr>
      <w:r>
        <w:t>6. Настоящий Указ вступает в силу с 1 июля 2006 г., за исключением подпункта 1.2 пункта 1, который вступает в силу с 1 января 2008 г., пунктов 4, 5 и данного пункта, которые вступают в силу со дня подписания этого Указа.</w:t>
      </w:r>
    </w:p>
    <w:p w14:paraId="2D6338CA" w14:textId="77777777" w:rsidR="0089766F" w:rsidRDefault="0089766F">
      <w:pPr>
        <w:pStyle w:val="newncpi"/>
      </w:pPr>
      <w:r>
        <w:t> </w:t>
      </w:r>
    </w:p>
    <w:p w14:paraId="52867A5E" w14:textId="77777777" w:rsidR="0089766F" w:rsidRDefault="0089766F">
      <w:pPr>
        <w:pStyle w:val="newncpi"/>
      </w:pPr>
      <w:r>
        <w:t> </w:t>
      </w:r>
    </w:p>
    <w:tbl>
      <w:tblPr>
        <w:tblStyle w:val="tablencpi"/>
        <w:tblW w:w="5000" w:type="pct"/>
        <w:tblLook w:val="04A0" w:firstRow="1" w:lastRow="0" w:firstColumn="1" w:lastColumn="0" w:noHBand="0" w:noVBand="1"/>
      </w:tblPr>
      <w:tblGrid>
        <w:gridCol w:w="4684"/>
        <w:gridCol w:w="4685"/>
      </w:tblGrid>
      <w:tr w:rsidR="0089766F" w14:paraId="7A72403A" w14:textId="77777777">
        <w:tc>
          <w:tcPr>
            <w:tcW w:w="2500" w:type="pct"/>
            <w:tcMar>
              <w:top w:w="0" w:type="dxa"/>
              <w:left w:w="6" w:type="dxa"/>
              <w:bottom w:w="0" w:type="dxa"/>
              <w:right w:w="6" w:type="dxa"/>
            </w:tcMar>
            <w:vAlign w:val="bottom"/>
            <w:hideMark/>
          </w:tcPr>
          <w:p w14:paraId="0C1151F3" w14:textId="77777777" w:rsidR="0089766F" w:rsidRDefault="0089766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0F819D0A" w14:textId="77777777" w:rsidR="0089766F" w:rsidRDefault="0089766F">
            <w:pPr>
              <w:pStyle w:val="newncpi0"/>
              <w:jc w:val="right"/>
            </w:pPr>
            <w:r>
              <w:rPr>
                <w:rStyle w:val="pers"/>
              </w:rPr>
              <w:t>А.Лукашенко</w:t>
            </w:r>
          </w:p>
        </w:tc>
      </w:tr>
    </w:tbl>
    <w:p w14:paraId="65EB2AEB" w14:textId="77777777" w:rsidR="00513510" w:rsidRDefault="00B01F44" w:rsidP="00240937">
      <w:pPr>
        <w:pStyle w:val="newncpi0"/>
      </w:pPr>
    </w:p>
    <w:sectPr w:rsidR="00513510" w:rsidSect="0089766F">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CDF15" w14:textId="77777777" w:rsidR="00B01F44" w:rsidRDefault="00B01F44" w:rsidP="0089766F">
      <w:pPr>
        <w:spacing w:after="0" w:line="240" w:lineRule="auto"/>
      </w:pPr>
      <w:r>
        <w:separator/>
      </w:r>
    </w:p>
  </w:endnote>
  <w:endnote w:type="continuationSeparator" w:id="0">
    <w:p w14:paraId="45275AAA" w14:textId="77777777" w:rsidR="00B01F44" w:rsidRDefault="00B01F44" w:rsidP="0089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A5ECF" w14:textId="77777777" w:rsidR="00B01F44" w:rsidRDefault="00B01F44" w:rsidP="0089766F">
      <w:pPr>
        <w:spacing w:after="0" w:line="240" w:lineRule="auto"/>
      </w:pPr>
      <w:r>
        <w:separator/>
      </w:r>
    </w:p>
  </w:footnote>
  <w:footnote w:type="continuationSeparator" w:id="0">
    <w:p w14:paraId="610B7A5C" w14:textId="77777777" w:rsidR="00B01F44" w:rsidRDefault="00B01F44" w:rsidP="00897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FDC53" w14:textId="77777777" w:rsidR="0089766F" w:rsidRDefault="0089766F" w:rsidP="000F4B2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6D4274D" w14:textId="77777777" w:rsidR="0089766F" w:rsidRDefault="008976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864E3" w14:textId="77777777" w:rsidR="0089766F" w:rsidRPr="0089766F" w:rsidRDefault="0089766F" w:rsidP="000F4B2D">
    <w:pPr>
      <w:pStyle w:val="a3"/>
      <w:framePr w:wrap="around" w:vAnchor="text" w:hAnchor="margin" w:xAlign="center" w:y="1"/>
      <w:rPr>
        <w:rStyle w:val="a7"/>
        <w:rFonts w:ascii="Times New Roman" w:hAnsi="Times New Roman" w:cs="Times New Roman"/>
        <w:sz w:val="24"/>
      </w:rPr>
    </w:pPr>
    <w:r w:rsidRPr="0089766F">
      <w:rPr>
        <w:rStyle w:val="a7"/>
        <w:rFonts w:ascii="Times New Roman" w:hAnsi="Times New Roman" w:cs="Times New Roman"/>
        <w:sz w:val="24"/>
      </w:rPr>
      <w:fldChar w:fldCharType="begin"/>
    </w:r>
    <w:r w:rsidRPr="0089766F">
      <w:rPr>
        <w:rStyle w:val="a7"/>
        <w:rFonts w:ascii="Times New Roman" w:hAnsi="Times New Roman" w:cs="Times New Roman"/>
        <w:sz w:val="24"/>
      </w:rPr>
      <w:instrText xml:space="preserve"> PAGE </w:instrText>
    </w:r>
    <w:r w:rsidRPr="0089766F">
      <w:rPr>
        <w:rStyle w:val="a7"/>
        <w:rFonts w:ascii="Times New Roman" w:hAnsi="Times New Roman" w:cs="Times New Roman"/>
        <w:sz w:val="24"/>
      </w:rPr>
      <w:fldChar w:fldCharType="separate"/>
    </w:r>
    <w:r w:rsidR="00391757">
      <w:rPr>
        <w:rStyle w:val="a7"/>
        <w:rFonts w:ascii="Times New Roman" w:hAnsi="Times New Roman" w:cs="Times New Roman"/>
        <w:noProof/>
        <w:sz w:val="24"/>
      </w:rPr>
      <w:t>2</w:t>
    </w:r>
    <w:r w:rsidRPr="0089766F">
      <w:rPr>
        <w:rStyle w:val="a7"/>
        <w:rFonts w:ascii="Times New Roman" w:hAnsi="Times New Roman" w:cs="Times New Roman"/>
        <w:sz w:val="24"/>
      </w:rPr>
      <w:fldChar w:fldCharType="end"/>
    </w:r>
  </w:p>
  <w:p w14:paraId="5473118F" w14:textId="77777777" w:rsidR="0089766F" w:rsidRPr="0089766F" w:rsidRDefault="0089766F">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6F"/>
    <w:rsid w:val="00023960"/>
    <w:rsid w:val="001619E2"/>
    <w:rsid w:val="00240937"/>
    <w:rsid w:val="003256BA"/>
    <w:rsid w:val="00391757"/>
    <w:rsid w:val="00873AD8"/>
    <w:rsid w:val="0089766F"/>
    <w:rsid w:val="00B01F44"/>
    <w:rsid w:val="00CD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9766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976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76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976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9766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89766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766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976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766F"/>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89766F"/>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89766F"/>
    <w:rPr>
      <w:rFonts w:ascii="Times New Roman" w:hAnsi="Times New Roman" w:cs="Times New Roman" w:hint="default"/>
      <w:caps/>
    </w:rPr>
  </w:style>
  <w:style w:type="character" w:customStyle="1" w:styleId="promulgator">
    <w:name w:val="promulgator"/>
    <w:basedOn w:val="a0"/>
    <w:rsid w:val="0089766F"/>
    <w:rPr>
      <w:rFonts w:ascii="Times New Roman" w:hAnsi="Times New Roman" w:cs="Times New Roman" w:hint="default"/>
      <w:caps/>
    </w:rPr>
  </w:style>
  <w:style w:type="character" w:customStyle="1" w:styleId="datepr">
    <w:name w:val="datepr"/>
    <w:basedOn w:val="a0"/>
    <w:rsid w:val="0089766F"/>
    <w:rPr>
      <w:rFonts w:ascii="Times New Roman" w:hAnsi="Times New Roman" w:cs="Times New Roman" w:hint="default"/>
    </w:rPr>
  </w:style>
  <w:style w:type="character" w:customStyle="1" w:styleId="number">
    <w:name w:val="number"/>
    <w:basedOn w:val="a0"/>
    <w:rsid w:val="0089766F"/>
    <w:rPr>
      <w:rFonts w:ascii="Times New Roman" w:hAnsi="Times New Roman" w:cs="Times New Roman" w:hint="default"/>
    </w:rPr>
  </w:style>
  <w:style w:type="character" w:customStyle="1" w:styleId="post">
    <w:name w:val="post"/>
    <w:basedOn w:val="a0"/>
    <w:rsid w:val="0089766F"/>
    <w:rPr>
      <w:rFonts w:ascii="Times New Roman" w:hAnsi="Times New Roman" w:cs="Times New Roman" w:hint="default"/>
      <w:b/>
      <w:bCs/>
      <w:sz w:val="22"/>
      <w:szCs w:val="22"/>
    </w:rPr>
  </w:style>
  <w:style w:type="character" w:customStyle="1" w:styleId="pers">
    <w:name w:val="pers"/>
    <w:basedOn w:val="a0"/>
    <w:rsid w:val="0089766F"/>
    <w:rPr>
      <w:rFonts w:ascii="Times New Roman" w:hAnsi="Times New Roman" w:cs="Times New Roman" w:hint="default"/>
      <w:b/>
      <w:bCs/>
      <w:sz w:val="22"/>
      <w:szCs w:val="22"/>
    </w:rPr>
  </w:style>
  <w:style w:type="table" w:customStyle="1" w:styleId="tablencpi">
    <w:name w:val="tablencpi"/>
    <w:basedOn w:val="a1"/>
    <w:rsid w:val="008976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976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766F"/>
  </w:style>
  <w:style w:type="paragraph" w:styleId="a5">
    <w:name w:val="footer"/>
    <w:basedOn w:val="a"/>
    <w:link w:val="a6"/>
    <w:uiPriority w:val="99"/>
    <w:unhideWhenUsed/>
    <w:rsid w:val="008976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766F"/>
  </w:style>
  <w:style w:type="character" w:styleId="a7">
    <w:name w:val="page number"/>
    <w:basedOn w:val="a0"/>
    <w:uiPriority w:val="99"/>
    <w:semiHidden/>
    <w:unhideWhenUsed/>
    <w:rsid w:val="0089766F"/>
  </w:style>
  <w:style w:type="table" w:styleId="a8">
    <w:name w:val="Table Grid"/>
    <w:basedOn w:val="a1"/>
    <w:uiPriority w:val="39"/>
    <w:rsid w:val="0089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9766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976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976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9766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9766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89766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766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9766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766F"/>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89766F"/>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89766F"/>
    <w:rPr>
      <w:rFonts w:ascii="Times New Roman" w:hAnsi="Times New Roman" w:cs="Times New Roman" w:hint="default"/>
      <w:caps/>
    </w:rPr>
  </w:style>
  <w:style w:type="character" w:customStyle="1" w:styleId="promulgator">
    <w:name w:val="promulgator"/>
    <w:basedOn w:val="a0"/>
    <w:rsid w:val="0089766F"/>
    <w:rPr>
      <w:rFonts w:ascii="Times New Roman" w:hAnsi="Times New Roman" w:cs="Times New Roman" w:hint="default"/>
      <w:caps/>
    </w:rPr>
  </w:style>
  <w:style w:type="character" w:customStyle="1" w:styleId="datepr">
    <w:name w:val="datepr"/>
    <w:basedOn w:val="a0"/>
    <w:rsid w:val="0089766F"/>
    <w:rPr>
      <w:rFonts w:ascii="Times New Roman" w:hAnsi="Times New Roman" w:cs="Times New Roman" w:hint="default"/>
    </w:rPr>
  </w:style>
  <w:style w:type="character" w:customStyle="1" w:styleId="number">
    <w:name w:val="number"/>
    <w:basedOn w:val="a0"/>
    <w:rsid w:val="0089766F"/>
    <w:rPr>
      <w:rFonts w:ascii="Times New Roman" w:hAnsi="Times New Roman" w:cs="Times New Roman" w:hint="default"/>
    </w:rPr>
  </w:style>
  <w:style w:type="character" w:customStyle="1" w:styleId="post">
    <w:name w:val="post"/>
    <w:basedOn w:val="a0"/>
    <w:rsid w:val="0089766F"/>
    <w:rPr>
      <w:rFonts w:ascii="Times New Roman" w:hAnsi="Times New Roman" w:cs="Times New Roman" w:hint="default"/>
      <w:b/>
      <w:bCs/>
      <w:sz w:val="22"/>
      <w:szCs w:val="22"/>
    </w:rPr>
  </w:style>
  <w:style w:type="character" w:customStyle="1" w:styleId="pers">
    <w:name w:val="pers"/>
    <w:basedOn w:val="a0"/>
    <w:rsid w:val="0089766F"/>
    <w:rPr>
      <w:rFonts w:ascii="Times New Roman" w:hAnsi="Times New Roman" w:cs="Times New Roman" w:hint="default"/>
      <w:b/>
      <w:bCs/>
      <w:sz w:val="22"/>
      <w:szCs w:val="22"/>
    </w:rPr>
  </w:style>
  <w:style w:type="table" w:customStyle="1" w:styleId="tablencpi">
    <w:name w:val="tablencpi"/>
    <w:basedOn w:val="a1"/>
    <w:rsid w:val="008976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976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766F"/>
  </w:style>
  <w:style w:type="paragraph" w:styleId="a5">
    <w:name w:val="footer"/>
    <w:basedOn w:val="a"/>
    <w:link w:val="a6"/>
    <w:uiPriority w:val="99"/>
    <w:unhideWhenUsed/>
    <w:rsid w:val="008976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766F"/>
  </w:style>
  <w:style w:type="character" w:styleId="a7">
    <w:name w:val="page number"/>
    <w:basedOn w:val="a0"/>
    <w:uiPriority w:val="99"/>
    <w:semiHidden/>
    <w:unhideWhenUsed/>
    <w:rsid w:val="0089766F"/>
  </w:style>
  <w:style w:type="table" w:styleId="a8">
    <w:name w:val="Table Grid"/>
    <w:basedOn w:val="a1"/>
    <w:uiPriority w:val="39"/>
    <w:rsid w:val="00897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4397</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2023-04-12T12:50:00Z</dcterms:created>
  <dcterms:modified xsi:type="dcterms:W3CDTF">2023-04-12T12:50:00Z</dcterms:modified>
</cp:coreProperties>
</file>